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38" w:rsidRPr="000D07BE" w:rsidRDefault="00210938" w:rsidP="00863084">
      <w:pPr>
        <w:pStyle w:val="a3"/>
        <w:shd w:val="clear" w:color="auto" w:fill="FFFFFF"/>
        <w:spacing w:before="0" w:beforeAutospacing="0" w:after="0" w:afterAutospacing="0" w:line="300" w:lineRule="atLeast"/>
        <w:jc w:val="center"/>
        <w:rPr>
          <w:b/>
          <w:color w:val="484848"/>
          <w:sz w:val="36"/>
          <w:szCs w:val="36"/>
        </w:rPr>
      </w:pPr>
      <w:r w:rsidRPr="000D07BE">
        <w:rPr>
          <w:b/>
          <w:color w:val="484848"/>
          <w:sz w:val="36"/>
          <w:szCs w:val="36"/>
        </w:rPr>
        <w:t>МОТИВИ:</w:t>
      </w:r>
    </w:p>
    <w:p w:rsidR="00863084" w:rsidRPr="000D07BE" w:rsidRDefault="00863084" w:rsidP="00863084">
      <w:pPr>
        <w:pStyle w:val="a3"/>
        <w:shd w:val="clear" w:color="auto" w:fill="FFFFFF"/>
        <w:spacing w:before="0" w:beforeAutospacing="0" w:after="0" w:afterAutospacing="0" w:line="300" w:lineRule="atLeast"/>
        <w:jc w:val="center"/>
        <w:rPr>
          <w:b/>
          <w:color w:val="484848"/>
          <w:sz w:val="36"/>
          <w:szCs w:val="36"/>
        </w:rPr>
      </w:pPr>
    </w:p>
    <w:p w:rsidR="00210938" w:rsidRPr="003C5167" w:rsidRDefault="00210938" w:rsidP="00863084">
      <w:pPr>
        <w:pStyle w:val="a3"/>
        <w:shd w:val="clear" w:color="auto" w:fill="FFFFFF"/>
        <w:spacing w:before="0" w:beforeAutospacing="0" w:after="0" w:afterAutospacing="0" w:line="300" w:lineRule="atLeast"/>
        <w:rPr>
          <w:b/>
          <w:color w:val="484848"/>
        </w:rPr>
      </w:pPr>
      <w:r w:rsidRPr="003C5167">
        <w:rPr>
          <w:b/>
          <w:color w:val="484848"/>
        </w:rPr>
        <w:t>1. Причини, които налагат приемането.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xml:space="preserve">Съгласно разпоредбите на Закона за местните данъци и такси (ЗМДТ) и Закона за управление на отпадъците (ЗУО) е регламентирано задължението на Община Тутракан да предоставя на населението услуги по сметосъбиране, сметоизвозване, обезвреждане на битовите отпадъци в Регионално депо </w:t>
      </w:r>
      <w:r w:rsidR="00E95425" w:rsidRPr="003C5167">
        <w:rPr>
          <w:color w:val="484848"/>
        </w:rPr>
        <w:t>за неопасни отпадъци – Русе</w:t>
      </w:r>
      <w:r w:rsidRPr="003C5167">
        <w:rPr>
          <w:color w:val="484848"/>
        </w:rPr>
        <w:t>, както и за поддържане на чистота на териториите за обществено ползване.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Границите на районите за извършване на услуги по сметосъбиране, сметоизвозване и поддържането на чистотата на териториите за обществено ползване на територията на Община Тутракан, както и честотата на сметоизвозване са о</w:t>
      </w:r>
      <w:r w:rsidR="00B91367">
        <w:rPr>
          <w:color w:val="484848"/>
        </w:rPr>
        <w:t>пределени със Заповед №РД-04-1410/16.10.2025</w:t>
      </w:r>
      <w:r w:rsidR="00677950" w:rsidRPr="003C5167">
        <w:rPr>
          <w:color w:val="484848"/>
        </w:rPr>
        <w:t xml:space="preserve"> г. на Кмета на община Тутракан</w:t>
      </w:r>
      <w:r w:rsidRPr="003C5167">
        <w:rPr>
          <w:color w:val="484848"/>
        </w:rPr>
        <w:t xml:space="preserve"> на основание чл. 63, ал. 2 от Закона за местните данъци и такси.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Съгласно чл. 64 от Закона за управление на отпадъците всяка община заплаща отчисления за обезвреждане на отпадъците на съответното регионално депо, като отчисленията имат за цел да се намали количеството на депонираните отпадъци и да се насърчи тяхното рециклиране и оползотворяване. Размерът на отчисленията е определен с наредба, като беше различен за всяка календарна година както следва: за 2013г. - 15лв./т; за 2014г. - 22лв./т; за 2015г. - 28лв./т; за 2016г. - 36лв./т; за 2017г. - 40лв./т; за 2018г. - 45лв./т; за 2019г. - 57лв./т; за 2020г. - 69лв./т; за 2021г. - 82лв./т; за 2022г. - 95лв./т и всяка следваща година ще бъде 95лв./т. Така наложените нормативно отчисления водят до оскъпяване на разходите по обезвреждане на отпадъците на общините.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xml:space="preserve">Данъчната оценка на имотите, върху която се изчислява дължимата такса не е променяна от </w:t>
      </w:r>
      <w:r w:rsidR="00677950" w:rsidRPr="003C5167">
        <w:t>2009</w:t>
      </w:r>
      <w:r w:rsidRPr="003C5167">
        <w:t xml:space="preserve"> г.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Резултатите от направения анализ за количеството генерирани отпадъци на</w:t>
      </w:r>
      <w:r w:rsidR="00677950" w:rsidRPr="003C5167">
        <w:rPr>
          <w:color w:val="484848"/>
        </w:rPr>
        <w:t xml:space="preserve"> тер</w:t>
      </w:r>
      <w:r w:rsidR="00863084" w:rsidRPr="003C5167">
        <w:rPr>
          <w:color w:val="484848"/>
        </w:rPr>
        <w:t>иторията на Община Тутракан за периода</w:t>
      </w:r>
      <w:r w:rsidRPr="003C5167">
        <w:rPr>
          <w:color w:val="484848"/>
        </w:rPr>
        <w:t xml:space="preserve"> </w:t>
      </w:r>
      <w:bookmarkStart w:id="0" w:name="_GoBack"/>
      <w:r w:rsidR="00B91367" w:rsidRPr="00405074">
        <w:t>2025</w:t>
      </w:r>
      <w:bookmarkEnd w:id="0"/>
      <w:r w:rsidRPr="004C2F6B">
        <w:rPr>
          <w:color w:val="FF0000"/>
        </w:rPr>
        <w:t xml:space="preserve"> </w:t>
      </w:r>
      <w:r w:rsidRPr="003C5167">
        <w:rPr>
          <w:color w:val="484848"/>
        </w:rPr>
        <w:t>г. показват ежегодно завишение на количеството депонирани отпадъци за крайно обезвреждане на Регионалното депо, спрямо предходните години. Предвиждаме редица мерки за оптимизиране и повишаване на контрола върху процесите за сметосъбиране и сметоизвозване и поддържане на чистотата на териториите за общ</w:t>
      </w:r>
      <w:r w:rsidR="00B91367">
        <w:rPr>
          <w:color w:val="484848"/>
        </w:rPr>
        <w:t>ествено ползване с цел през 2026</w:t>
      </w:r>
      <w:r w:rsidRPr="003C5167">
        <w:rPr>
          <w:color w:val="484848"/>
        </w:rPr>
        <w:t xml:space="preserve"> г. количествата отпадъци за депо</w:t>
      </w:r>
      <w:r w:rsidR="00677950" w:rsidRPr="003C5167">
        <w:rPr>
          <w:color w:val="484848"/>
        </w:rPr>
        <w:t>ниране да бъдат значително по-малко</w:t>
      </w:r>
      <w:r w:rsidRPr="003C5167">
        <w:rPr>
          <w:color w:val="484848"/>
        </w:rPr>
        <w:t>.</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B91367" w:rsidP="00863084">
      <w:pPr>
        <w:pStyle w:val="a3"/>
        <w:shd w:val="clear" w:color="auto" w:fill="FFFFFF"/>
        <w:spacing w:before="0" w:beforeAutospacing="0" w:after="0" w:afterAutospacing="0" w:line="300" w:lineRule="atLeast"/>
        <w:jc w:val="both"/>
        <w:rPr>
          <w:color w:val="484848"/>
        </w:rPr>
      </w:pPr>
      <w:r>
        <w:rPr>
          <w:color w:val="484848"/>
        </w:rPr>
        <w:t>В плановете си за 2026</w:t>
      </w:r>
      <w:r w:rsidR="00210938" w:rsidRPr="003C5167">
        <w:rPr>
          <w:color w:val="484848"/>
        </w:rPr>
        <w:t xml:space="preserve"> г. поставяме акцент върху подобряването на средата - озеленяване, поддръжка и почистване на съществуващите и </w:t>
      </w:r>
      <w:proofErr w:type="spellStart"/>
      <w:r w:rsidR="00210938" w:rsidRPr="003C5167">
        <w:rPr>
          <w:color w:val="484848"/>
        </w:rPr>
        <w:t>новоизградени</w:t>
      </w:r>
      <w:proofErr w:type="spellEnd"/>
      <w:r w:rsidR="00210938" w:rsidRPr="003C5167">
        <w:rPr>
          <w:color w:val="484848"/>
        </w:rPr>
        <w:t xml:space="preserve"> междублокови зелени пространства, детски, здравни и социални заведения и гробищните паркове. Целта е да се създадат условия за намаляване на количеството генерирани отпадъци, най-вече на смесения битов отпадък, и да се повиши делът на повторната употреба и разделното събиране на отпадъците.</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xml:space="preserve">При разработване на План-сметката освен основните елементи включени в нея, са отчетени и факторите, довели до </w:t>
      </w:r>
      <w:r w:rsidR="00B91367">
        <w:rPr>
          <w:color w:val="484848"/>
        </w:rPr>
        <w:t>увеличаване на разходите за 2026</w:t>
      </w:r>
      <w:r w:rsidRPr="003C5167">
        <w:rPr>
          <w:color w:val="484848"/>
        </w:rPr>
        <w:t xml:space="preserve"> г., съответно и до увеличение на размера на ТБО, а именно:</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lastRenderedPageBreak/>
        <w:t>- Увеличаване на минимална</w:t>
      </w:r>
      <w:r w:rsidR="00B91367">
        <w:rPr>
          <w:color w:val="484848"/>
        </w:rPr>
        <w:t>та работна заплата от 01.01.2026</w:t>
      </w:r>
      <w:r w:rsidRPr="003C5167">
        <w:rPr>
          <w:color w:val="484848"/>
        </w:rPr>
        <w:t xml:space="preserve"> г. в размер на </w:t>
      </w:r>
      <w:r w:rsidR="00A53717">
        <w:rPr>
          <w:color w:val="484848"/>
        </w:rPr>
        <w:t>620,20</w:t>
      </w:r>
      <w:r w:rsidR="003C470C">
        <w:rPr>
          <w:color w:val="484848"/>
        </w:rPr>
        <w:t xml:space="preserve"> евро</w:t>
      </w:r>
      <w:r w:rsidRPr="003C5167">
        <w:rPr>
          <w:color w:val="484848"/>
        </w:rPr>
        <w:t>.</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Нарастващата инфлация и непрекъснатото увеличаване на цената на редица стоки и услуги;</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Предстоящи инвестиции с цел подобряване на услугите по сметосъбиране и сметоизвозване, разделно събиране на отпадъците от опаковки, дървени, зелени отпадъци и др., както и намаляване на количеството на смесения битов отпадък генериран от територията на Общината.</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b/>
          <w:color w:val="484848"/>
        </w:rPr>
      </w:pPr>
      <w:r w:rsidRPr="003C5167">
        <w:rPr>
          <w:b/>
          <w:color w:val="484848"/>
        </w:rPr>
        <w:t>2. Цели, които се поставят. </w:t>
      </w:r>
    </w:p>
    <w:p w:rsidR="00210938" w:rsidRPr="003C5167" w:rsidRDefault="00863084" w:rsidP="00863084">
      <w:pPr>
        <w:pStyle w:val="a3"/>
        <w:shd w:val="clear" w:color="auto" w:fill="FFFFFF"/>
        <w:spacing w:before="0" w:beforeAutospacing="0" w:after="0" w:afterAutospacing="0" w:line="300" w:lineRule="atLeast"/>
        <w:jc w:val="both"/>
        <w:rPr>
          <w:color w:val="484848"/>
        </w:rPr>
      </w:pPr>
      <w:r w:rsidRPr="003C5167">
        <w:rPr>
          <w:color w:val="484848"/>
        </w:rPr>
        <w:t xml:space="preserve">С </w:t>
      </w:r>
      <w:r w:rsidR="00210938" w:rsidRPr="003C5167">
        <w:rPr>
          <w:color w:val="484848"/>
        </w:rPr>
        <w:t>одобряване на пл</w:t>
      </w:r>
      <w:r w:rsidR="00B91367">
        <w:rPr>
          <w:color w:val="484848"/>
        </w:rPr>
        <w:t>ан-сметка за разходите през 2026</w:t>
      </w:r>
      <w:r w:rsidR="00210938" w:rsidRPr="003C5167">
        <w:rPr>
          <w:color w:val="484848"/>
        </w:rPr>
        <w:t xml:space="preserve"> г., необходими за предоставяне на услугите по „сметосъбиране и сметоизвозване“, „обезвреждане на битовите отпадъци в депо“ и „поддържане на чистотата на териториите за обществ</w:t>
      </w:r>
      <w:r w:rsidR="00677950" w:rsidRPr="003C5167">
        <w:rPr>
          <w:color w:val="484848"/>
        </w:rPr>
        <w:t>ено ползване“ в община Тутракан</w:t>
      </w:r>
      <w:r w:rsidR="00210938" w:rsidRPr="003C5167">
        <w:rPr>
          <w:color w:val="484848"/>
        </w:rPr>
        <w:t xml:space="preserve"> се поставя основната цел справедливо да се определи размера на такса битови отпадъци, като се запази размера и качеството на предоставяната на гражданите и юридически лица услуга.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b/>
          <w:color w:val="484848"/>
        </w:rPr>
      </w:pPr>
      <w:r w:rsidRPr="003C5167">
        <w:rPr>
          <w:b/>
          <w:color w:val="484848"/>
        </w:rPr>
        <w:t>3. Финансови и други средства, необходими за прилагане на проекта на административния акт.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Не са необходими допълнителни финанс</w:t>
      </w:r>
      <w:r w:rsidR="00185230" w:rsidRPr="003C5167">
        <w:rPr>
          <w:color w:val="484848"/>
        </w:rPr>
        <w:t>ови средства с оглед</w:t>
      </w:r>
      <w:r w:rsidRPr="003C5167">
        <w:rPr>
          <w:color w:val="484848"/>
        </w:rPr>
        <w:t xml:space="preserve"> одобряване на пл</w:t>
      </w:r>
      <w:r w:rsidR="00B91367">
        <w:rPr>
          <w:color w:val="484848"/>
        </w:rPr>
        <w:t>ан-сметка за разходите през 2026</w:t>
      </w:r>
      <w:r w:rsidRPr="003C5167">
        <w:rPr>
          <w:color w:val="484848"/>
        </w:rPr>
        <w:t xml:space="preserve"> г., необходими за предоставяне на услугите по „сметосъбиране и сметоизвозване“, „обезвреждане на битовите отпадъци в депо“ и „поддържане на чистотата на териториите за обществ</w:t>
      </w:r>
      <w:r w:rsidR="00677950" w:rsidRPr="003C5167">
        <w:rPr>
          <w:color w:val="484848"/>
        </w:rPr>
        <w:t>ено ползване“ в Община Тутракан</w:t>
      </w:r>
      <w:r w:rsidRPr="003C5167">
        <w:rPr>
          <w:color w:val="484848"/>
        </w:rPr>
        <w:t>.</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b/>
          <w:color w:val="484848"/>
        </w:rPr>
      </w:pPr>
      <w:r w:rsidRPr="003C5167">
        <w:rPr>
          <w:b/>
          <w:color w:val="484848"/>
        </w:rPr>
        <w:t>4. Очаквани резултати от прилагането, включително финансови, ако има такива.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Резултатите, които се очакват от одобряване на пл</w:t>
      </w:r>
      <w:r w:rsidR="00B91367">
        <w:rPr>
          <w:color w:val="484848"/>
        </w:rPr>
        <w:t>ан-сметка за разходите през 2026</w:t>
      </w:r>
      <w:r w:rsidRPr="003C5167">
        <w:rPr>
          <w:color w:val="484848"/>
        </w:rPr>
        <w:t xml:space="preserve"> г., необходими за предоставяне на услугите по „сметосъбиране и сметоизвозване“, „обезвреждане на битовите отпадъци в депо“ и „поддържане на чистотата на териториите за обществ</w:t>
      </w:r>
      <w:r w:rsidR="00185230" w:rsidRPr="003C5167">
        <w:rPr>
          <w:color w:val="484848"/>
        </w:rPr>
        <w:t>ено ползване“ в община Тутракан</w:t>
      </w:r>
      <w:r w:rsidRPr="003C5167">
        <w:rPr>
          <w:color w:val="484848"/>
        </w:rPr>
        <w:t xml:space="preserve"> се свеждат до привеждане на план-сметката в пълно съответствие с действащата нормативна уредба и всички нормативни актове от по-висока степен.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color w:val="484848"/>
        </w:rPr>
        <w:t> </w:t>
      </w:r>
    </w:p>
    <w:p w:rsidR="00210938" w:rsidRPr="003C5167" w:rsidRDefault="00210938" w:rsidP="00863084">
      <w:pPr>
        <w:pStyle w:val="a3"/>
        <w:shd w:val="clear" w:color="auto" w:fill="FFFFFF"/>
        <w:spacing w:before="0" w:beforeAutospacing="0" w:after="0" w:afterAutospacing="0" w:line="300" w:lineRule="atLeast"/>
        <w:jc w:val="both"/>
        <w:rPr>
          <w:color w:val="484848"/>
        </w:rPr>
      </w:pPr>
      <w:r w:rsidRPr="003C5167">
        <w:rPr>
          <w:b/>
        </w:rPr>
        <w:t>5. Анализ за съответствие с правото на Европейския съюз</w:t>
      </w:r>
      <w:r w:rsidRPr="003C5167">
        <w:rPr>
          <w:color w:val="484848"/>
        </w:rPr>
        <w:t>. </w:t>
      </w:r>
    </w:p>
    <w:p w:rsidR="00210938" w:rsidRPr="003C5167" w:rsidRDefault="00017B46" w:rsidP="00863084">
      <w:pPr>
        <w:pStyle w:val="a3"/>
        <w:shd w:val="clear" w:color="auto" w:fill="FFFFFF"/>
        <w:spacing w:before="0" w:beforeAutospacing="0" w:after="0" w:afterAutospacing="0" w:line="300" w:lineRule="atLeast"/>
        <w:jc w:val="both"/>
        <w:rPr>
          <w:color w:val="484848"/>
        </w:rPr>
      </w:pPr>
      <w:r w:rsidRPr="003C5167">
        <w:rPr>
          <w:color w:val="484848"/>
        </w:rPr>
        <w:t>Предлаганата за одобряване</w:t>
      </w:r>
      <w:r w:rsidR="00210938" w:rsidRPr="003C5167">
        <w:rPr>
          <w:color w:val="484848"/>
        </w:rPr>
        <w:t xml:space="preserve"> пл</w:t>
      </w:r>
      <w:r w:rsidR="00B91367">
        <w:rPr>
          <w:color w:val="484848"/>
        </w:rPr>
        <w:t>ан-сметка за разходите през 2026</w:t>
      </w:r>
      <w:r w:rsidR="00210938" w:rsidRPr="003C5167">
        <w:rPr>
          <w:color w:val="484848"/>
        </w:rPr>
        <w:t xml:space="preserve"> г., необходими за предоставяне на услугите по „сметосъбиране и сметоизвозване“, „обезвреждане на битовите отпадъци в депо“ и „поддържане на чистотата на териториите за обществ</w:t>
      </w:r>
      <w:r w:rsidR="00677950" w:rsidRPr="003C5167">
        <w:rPr>
          <w:color w:val="484848"/>
        </w:rPr>
        <w:t>ено ползване“ в община Тутракан</w:t>
      </w:r>
      <w:r w:rsidR="00210938" w:rsidRPr="003C5167">
        <w:rPr>
          <w:color w:val="484848"/>
        </w:rPr>
        <w:t xml:space="preserve"> е изготвен в съответствие с нормативните актове от по-висока степен, както и с актовете на европейското законодателство.</w:t>
      </w:r>
    </w:p>
    <w:p w:rsidR="00210938" w:rsidRPr="003C5167" w:rsidRDefault="00017B46" w:rsidP="00863084">
      <w:pPr>
        <w:pStyle w:val="a3"/>
        <w:shd w:val="clear" w:color="auto" w:fill="FFFFFF"/>
        <w:spacing w:before="0" w:beforeAutospacing="0" w:after="0" w:afterAutospacing="0" w:line="300" w:lineRule="atLeast"/>
        <w:jc w:val="both"/>
        <w:rPr>
          <w:color w:val="484848"/>
        </w:rPr>
      </w:pPr>
      <w:r w:rsidRPr="003C5167">
        <w:rPr>
          <w:color w:val="484848"/>
        </w:rPr>
        <w:t>.</w:t>
      </w:r>
      <w:r w:rsidR="00210938" w:rsidRPr="003C5167">
        <w:rPr>
          <w:color w:val="484848"/>
        </w:rPr>
        <w:t xml:space="preserve">За осигуряване на дейностите по управление на битовите </w:t>
      </w:r>
      <w:r w:rsidR="00B91367">
        <w:rPr>
          <w:color w:val="484848"/>
        </w:rPr>
        <w:t>отпадъци в план-сметката за 2026</w:t>
      </w:r>
      <w:r w:rsidR="00210938" w:rsidRPr="003C5167">
        <w:rPr>
          <w:color w:val="484848"/>
        </w:rPr>
        <w:t xml:space="preserve"> г. са предвиден</w:t>
      </w:r>
      <w:r w:rsidR="00677950" w:rsidRPr="003C5167">
        <w:rPr>
          <w:color w:val="484848"/>
        </w:rPr>
        <w:t xml:space="preserve">и средства в размер на </w:t>
      </w:r>
      <w:r w:rsidR="00B91367" w:rsidRPr="006B49F9">
        <w:t>856260</w:t>
      </w:r>
      <w:r w:rsidR="00210938" w:rsidRPr="00B91367">
        <w:rPr>
          <w:color w:val="FF0000"/>
        </w:rPr>
        <w:t xml:space="preserve"> </w:t>
      </w:r>
      <w:r w:rsidR="00B91367">
        <w:rPr>
          <w:color w:val="484848"/>
        </w:rPr>
        <w:t>евро</w:t>
      </w:r>
      <w:r w:rsidR="00210938" w:rsidRPr="003C5167">
        <w:rPr>
          <w:color w:val="484848"/>
        </w:rPr>
        <w:t xml:space="preserve">. </w:t>
      </w:r>
    </w:p>
    <w:p w:rsidR="00017B46" w:rsidRPr="003C5167" w:rsidRDefault="00017B46" w:rsidP="00863084">
      <w:pPr>
        <w:pStyle w:val="a3"/>
        <w:shd w:val="clear" w:color="auto" w:fill="FFFFFF"/>
        <w:spacing w:before="0" w:beforeAutospacing="0" w:after="0" w:afterAutospacing="0" w:line="300" w:lineRule="atLeast"/>
        <w:jc w:val="both"/>
        <w:rPr>
          <w:color w:val="484848"/>
        </w:rPr>
      </w:pPr>
    </w:p>
    <w:p w:rsidR="009E19C6" w:rsidRPr="003C5167" w:rsidRDefault="00210938" w:rsidP="005F4997">
      <w:pPr>
        <w:ind w:firstLine="708"/>
        <w:jc w:val="both"/>
        <w:rPr>
          <w:rFonts w:ascii="Times New Roman" w:hAnsi="Times New Roman" w:cs="Times New Roman"/>
          <w:sz w:val="24"/>
          <w:szCs w:val="24"/>
        </w:rPr>
      </w:pPr>
      <w:r w:rsidRPr="003C5167">
        <w:rPr>
          <w:rFonts w:ascii="Times New Roman" w:hAnsi="Times New Roman" w:cs="Times New Roman"/>
          <w:color w:val="484848"/>
          <w:sz w:val="24"/>
          <w:szCs w:val="24"/>
        </w:rPr>
        <w:t> </w:t>
      </w:r>
      <w:r w:rsidR="00017B46" w:rsidRPr="003C5167">
        <w:rPr>
          <w:rFonts w:ascii="Times New Roman" w:hAnsi="Times New Roman" w:cs="Times New Roman"/>
          <w:sz w:val="24"/>
          <w:szCs w:val="24"/>
        </w:rPr>
        <w:t>Заинтересованите лица и организации могат да участват в производството по издаване на акта по чл. 65 и чл. 66 от АПК, чрез представяне на писмени предложения и възражения по проекта за решение на е-</w:t>
      </w:r>
      <w:proofErr w:type="spellStart"/>
      <w:r w:rsidR="00017B46" w:rsidRPr="003C5167">
        <w:rPr>
          <w:rFonts w:ascii="Times New Roman" w:hAnsi="Times New Roman" w:cs="Times New Roman"/>
          <w:sz w:val="24"/>
          <w:szCs w:val="24"/>
        </w:rPr>
        <w:t>mаil</w:t>
      </w:r>
      <w:proofErr w:type="spellEnd"/>
      <w:r w:rsidR="00017B46" w:rsidRPr="003C5167">
        <w:rPr>
          <w:rFonts w:ascii="Times New Roman" w:hAnsi="Times New Roman" w:cs="Times New Roman"/>
          <w:sz w:val="24"/>
          <w:szCs w:val="24"/>
        </w:rPr>
        <w:t xml:space="preserve"> адрес: </w:t>
      </w:r>
      <w:hyperlink r:id="rId4" w:history="1">
        <w:r w:rsidR="00017B46" w:rsidRPr="003C5167">
          <w:rPr>
            <w:rStyle w:val="a4"/>
            <w:rFonts w:ascii="Times New Roman" w:hAnsi="Times New Roman" w:cs="Times New Roman"/>
            <w:sz w:val="24"/>
            <w:szCs w:val="24"/>
            <w:shd w:val="clear" w:color="auto" w:fill="FFFFFF"/>
          </w:rPr>
          <w:t>tutrakan@b-trust.org</w:t>
        </w:r>
      </w:hyperlink>
      <w:r w:rsidR="00017B46" w:rsidRPr="003C5167">
        <w:rPr>
          <w:rFonts w:ascii="Times New Roman" w:hAnsi="Times New Roman" w:cs="Times New Roman"/>
          <w:color w:val="000000"/>
          <w:sz w:val="24"/>
          <w:szCs w:val="24"/>
          <w:shd w:val="clear" w:color="auto" w:fill="FFFFFF"/>
        </w:rPr>
        <w:t xml:space="preserve"> </w:t>
      </w:r>
      <w:r w:rsidR="00017B46" w:rsidRPr="003C5167">
        <w:rPr>
          <w:rFonts w:ascii="Times New Roman" w:hAnsi="Times New Roman" w:cs="Times New Roman"/>
          <w:sz w:val="24"/>
          <w:szCs w:val="24"/>
        </w:rPr>
        <w:t xml:space="preserve">или в Центъра за обслужване на граждани в Общинска администрация – Тутракан на адрес: ул. „Трансмариска“ № 31, в едномесечен срок считан от датата на оповестяване на уведомлението. </w:t>
      </w:r>
    </w:p>
    <w:sectPr w:rsidR="009E19C6" w:rsidRPr="003C5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38"/>
    <w:rsid w:val="00017B46"/>
    <w:rsid w:val="000D07BE"/>
    <w:rsid w:val="00185230"/>
    <w:rsid w:val="00210938"/>
    <w:rsid w:val="003C470C"/>
    <w:rsid w:val="003C5167"/>
    <w:rsid w:val="00405074"/>
    <w:rsid w:val="004C2F6B"/>
    <w:rsid w:val="005F4997"/>
    <w:rsid w:val="00677950"/>
    <w:rsid w:val="006B49F9"/>
    <w:rsid w:val="00863084"/>
    <w:rsid w:val="009E19C6"/>
    <w:rsid w:val="00A53717"/>
    <w:rsid w:val="00B91367"/>
    <w:rsid w:val="00E954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01F7"/>
  <w15:chartTrackingRefBased/>
  <w15:docId w15:val="{6A40E243-0B01-4362-86D3-5075AE28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093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unhideWhenUsed/>
    <w:rsid w:val="00017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trakan@b-trust.or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850</Words>
  <Characters>4851</Characters>
  <Application>Microsoft Office Word</Application>
  <DocSecurity>0</DocSecurity>
  <Lines>40</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Petrova</dc:creator>
  <cp:keywords/>
  <dc:description/>
  <cp:lastModifiedBy>Antoaneta Petrova</cp:lastModifiedBy>
  <cp:revision>13</cp:revision>
  <dcterms:created xsi:type="dcterms:W3CDTF">2024-11-15T13:52:00Z</dcterms:created>
  <dcterms:modified xsi:type="dcterms:W3CDTF">2025-12-17T13:47:00Z</dcterms:modified>
</cp:coreProperties>
</file>