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6E" w:rsidRPr="00A5747B" w:rsidRDefault="00EB20F8" w:rsidP="002E2570">
      <w:pPr>
        <w:jc w:val="center"/>
      </w:pPr>
      <w:r>
        <w:t>Справка</w:t>
      </w:r>
      <w:r w:rsidR="00A5747B">
        <w:t xml:space="preserve"> за отразяване на коментарите </w:t>
      </w:r>
      <w:r w:rsidR="002E2570">
        <w:t xml:space="preserve">на МФ </w:t>
      </w:r>
      <w:r w:rsidR="002E2570" w:rsidRPr="002E2570">
        <w:rPr>
          <w:lang w:bidi="bg-BG"/>
        </w:rPr>
        <w:t>по проект на Насоки за кандидатстване по процедура BG16RFOP001-2.003 „Енергийна ефективност в периферните райони-3“ и степента им на отразяване от Управляващия орган на Оперативна програма „Региони в растеж“ 2014-2020 (ОПРР)</w:t>
      </w:r>
    </w:p>
    <w:tbl>
      <w:tblPr>
        <w:tblStyle w:val="a4"/>
        <w:tblW w:w="14425" w:type="dxa"/>
        <w:tblLook w:val="04A0"/>
      </w:tblPr>
      <w:tblGrid>
        <w:gridCol w:w="534"/>
        <w:gridCol w:w="4961"/>
        <w:gridCol w:w="8930"/>
      </w:tblGrid>
      <w:tr w:rsidR="00A5747B" w:rsidTr="00674A9F">
        <w:tc>
          <w:tcPr>
            <w:tcW w:w="534" w:type="dxa"/>
          </w:tcPr>
          <w:p w:rsidR="00A5747B" w:rsidRPr="00222314" w:rsidRDefault="00A5747B" w:rsidP="00407085">
            <w:pPr>
              <w:jc w:val="center"/>
              <w:rPr>
                <w:b/>
              </w:rPr>
            </w:pPr>
            <w:r w:rsidRPr="00222314">
              <w:rPr>
                <w:b/>
              </w:rPr>
              <w:t>№</w:t>
            </w:r>
          </w:p>
        </w:tc>
        <w:tc>
          <w:tcPr>
            <w:tcW w:w="4961" w:type="dxa"/>
          </w:tcPr>
          <w:p w:rsidR="00A5747B" w:rsidRPr="00222314" w:rsidRDefault="00A5747B" w:rsidP="00407085">
            <w:pPr>
              <w:jc w:val="center"/>
              <w:rPr>
                <w:b/>
              </w:rPr>
            </w:pPr>
            <w:r w:rsidRPr="00222314">
              <w:rPr>
                <w:b/>
              </w:rPr>
              <w:t>Коментар</w:t>
            </w:r>
          </w:p>
        </w:tc>
        <w:tc>
          <w:tcPr>
            <w:tcW w:w="8930" w:type="dxa"/>
          </w:tcPr>
          <w:p w:rsidR="00A5747B" w:rsidRPr="00222314" w:rsidRDefault="00A5747B" w:rsidP="00407085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222314">
              <w:rPr>
                <w:b/>
              </w:rPr>
              <w:t>тразяване/мотиви за неотразяване</w:t>
            </w:r>
          </w:p>
        </w:tc>
      </w:tr>
      <w:tr w:rsidR="00A5747B" w:rsidTr="00674A9F">
        <w:tc>
          <w:tcPr>
            <w:tcW w:w="534" w:type="dxa"/>
          </w:tcPr>
          <w:p w:rsidR="00A5747B" w:rsidRDefault="00A5747B" w:rsidP="00A5747B">
            <w:pPr>
              <w:numPr>
                <w:ilvl w:val="0"/>
                <w:numId w:val="3"/>
              </w:numPr>
              <w:tabs>
                <w:tab w:val="left" w:pos="142"/>
              </w:tabs>
              <w:ind w:left="142" w:firstLine="0"/>
            </w:pPr>
          </w:p>
        </w:tc>
        <w:tc>
          <w:tcPr>
            <w:tcW w:w="4961" w:type="dxa"/>
          </w:tcPr>
          <w:p w:rsidR="00DF6994" w:rsidRDefault="00DF6994" w:rsidP="00DF6994">
            <w:pPr>
              <w:spacing w:before="120" w:after="120"/>
              <w:jc w:val="both"/>
            </w:pPr>
            <w:r w:rsidRPr="00DF6994">
              <w:rPr>
                <w:lang w:bidi="bg-BG"/>
              </w:rPr>
              <w:t xml:space="preserve">По отношение на случаите, в които стопанското използване на административните сгради на </w:t>
            </w:r>
            <w:r>
              <w:t>държавната и общинската администрация остава само спомагателно, по смисъла на т. 207 от Известието, приемаме за проверени изложените от УО на ОПРР основания за прилагане на режим „непомощ“.</w:t>
            </w:r>
          </w:p>
          <w:p w:rsidR="00A5747B" w:rsidRDefault="00DF6994" w:rsidP="00DF6994">
            <w:pPr>
              <w:spacing w:before="120" w:after="120"/>
              <w:jc w:val="both"/>
            </w:pPr>
            <w:r>
              <w:t xml:space="preserve">Що се касае до поставения от УО на ОПРР процент, при който ще се счита, че обхватът на спомагателните стопански дейности е ограничен спрямо капацитета на инфраструктурата, отбелязваме, че Известието не фиксира </w:t>
            </w:r>
            <w:proofErr w:type="spellStart"/>
            <w:r>
              <w:t>общоприложим</w:t>
            </w:r>
            <w:proofErr w:type="spellEnd"/>
            <w:r>
              <w:t xml:space="preserve"> праг на несъщественост. Това означава, че Европейската комисия би анализирала всеки казус по отделно за изпълнение на всички критерии от теста на чл. 107 от ДФЕС.</w:t>
            </w:r>
          </w:p>
        </w:tc>
        <w:tc>
          <w:tcPr>
            <w:tcW w:w="8930" w:type="dxa"/>
          </w:tcPr>
          <w:p w:rsidR="009D32E1" w:rsidRDefault="008C536F" w:rsidP="000309DE">
            <w:pPr>
              <w:spacing w:before="120"/>
              <w:jc w:val="both"/>
              <w:rPr>
                <w:szCs w:val="24"/>
              </w:rPr>
            </w:pPr>
            <w:r w:rsidRPr="008C536F">
              <w:rPr>
                <w:szCs w:val="24"/>
              </w:rPr>
              <w:t xml:space="preserve">В бележка под линия № 305 към т. 207 от известието е посочено „В това отношение използването на инфраструктурата за стопански цели може да се счита за спомагателно, когато заделяният всяка година капацитет за тази дейност не надхвърля </w:t>
            </w:r>
            <w:r w:rsidRPr="000309DE">
              <w:rPr>
                <w:b/>
                <w:szCs w:val="24"/>
              </w:rPr>
              <w:t>20 процента от общия годишен капацитет на инфраструктурата</w:t>
            </w:r>
            <w:r w:rsidRPr="008C536F">
              <w:rPr>
                <w:szCs w:val="24"/>
              </w:rPr>
              <w:t xml:space="preserve">“. </w:t>
            </w:r>
            <w:r w:rsidR="009D32E1">
              <w:rPr>
                <w:szCs w:val="24"/>
              </w:rPr>
              <w:t xml:space="preserve">Както е видно от текста, изискването се поставя по отношение на спомагателните стопански дейности. </w:t>
            </w:r>
          </w:p>
          <w:p w:rsidR="000309DE" w:rsidRPr="00C51F65" w:rsidRDefault="000309DE" w:rsidP="000309DE">
            <w:pPr>
              <w:spacing w:before="120"/>
              <w:jc w:val="both"/>
              <w:rPr>
                <w:szCs w:val="24"/>
              </w:rPr>
            </w:pPr>
            <w:r>
              <w:rPr>
                <w:szCs w:val="24"/>
              </w:rPr>
              <w:t>В допълнение, освен спомагателни</w:t>
            </w:r>
            <w:r w:rsidR="008C536F" w:rsidRPr="008C536F">
              <w:rPr>
                <w:szCs w:val="24"/>
              </w:rPr>
              <w:t xml:space="preserve"> стопанск</w:t>
            </w:r>
            <w:r>
              <w:rPr>
                <w:szCs w:val="24"/>
              </w:rPr>
              <w:t>и</w:t>
            </w:r>
            <w:r w:rsidR="008C536F" w:rsidRPr="008C536F">
              <w:rPr>
                <w:szCs w:val="24"/>
              </w:rPr>
              <w:t xml:space="preserve"> дейност</w:t>
            </w:r>
            <w:r>
              <w:rPr>
                <w:szCs w:val="24"/>
              </w:rPr>
              <w:t>и</w:t>
            </w:r>
            <w:r w:rsidR="008C536F" w:rsidRPr="008C536F">
              <w:rPr>
                <w:szCs w:val="24"/>
              </w:rPr>
              <w:t>, ко</w:t>
            </w:r>
            <w:r>
              <w:rPr>
                <w:szCs w:val="24"/>
              </w:rPr>
              <w:t>и</w:t>
            </w:r>
            <w:r w:rsidR="008C536F" w:rsidRPr="008C536F">
              <w:rPr>
                <w:szCs w:val="24"/>
              </w:rPr>
              <w:t>то използва</w:t>
            </w:r>
            <w:r>
              <w:rPr>
                <w:szCs w:val="24"/>
              </w:rPr>
              <w:t>т</w:t>
            </w:r>
            <w:r w:rsidR="008C536F" w:rsidRPr="008C536F">
              <w:rPr>
                <w:szCs w:val="24"/>
              </w:rPr>
              <w:t xml:space="preserve"> същите производствени фактори като първичните нестопански дейности, например материали, оборудване, труд или дълготрайни активи Известието допуска и финансирането на „</w:t>
            </w:r>
            <w:r w:rsidR="008C536F" w:rsidRPr="000309DE">
              <w:rPr>
                <w:b/>
                <w:i/>
                <w:szCs w:val="24"/>
              </w:rPr>
              <w:t>обичайни съоръжения</w:t>
            </w:r>
            <w:r w:rsidR="008C536F" w:rsidRPr="008C536F">
              <w:rPr>
                <w:i/>
                <w:szCs w:val="24"/>
              </w:rPr>
              <w:t xml:space="preserve"> (например ресторанти, магазини или платен паркинг) на инфраструктурата, които се използват почти изключително за нестопанска дейност</w:t>
            </w:r>
            <w:r w:rsidR="008C536F" w:rsidRPr="008C536F">
              <w:rPr>
                <w:szCs w:val="24"/>
              </w:rPr>
              <w:t>“</w:t>
            </w:r>
            <w:r w:rsidR="008C536F">
              <w:rPr>
                <w:szCs w:val="24"/>
              </w:rPr>
              <w:t xml:space="preserve">. </w:t>
            </w:r>
            <w:r w:rsidR="009D32E1">
              <w:rPr>
                <w:szCs w:val="24"/>
              </w:rPr>
              <w:t xml:space="preserve">Обичайните съоръжения само частично използват същите „производствени фактори“, но същевременно Известието </w:t>
            </w:r>
            <w:r w:rsidR="009D32E1" w:rsidRPr="000309DE">
              <w:rPr>
                <w:szCs w:val="24"/>
                <w:u w:val="single"/>
              </w:rPr>
              <w:t>не поставя</w:t>
            </w:r>
            <w:r w:rsidR="009D32E1">
              <w:rPr>
                <w:szCs w:val="24"/>
              </w:rPr>
              <w:t xml:space="preserve"> </w:t>
            </w:r>
            <w:r w:rsidR="009D32E1" w:rsidRPr="000309DE">
              <w:rPr>
                <w:szCs w:val="24"/>
                <w:u w:val="single"/>
              </w:rPr>
              <w:t>изрично изискване</w:t>
            </w:r>
            <w:r w:rsidR="009D32E1">
              <w:rPr>
                <w:szCs w:val="24"/>
              </w:rPr>
              <w:t xml:space="preserve"> тези съоръжения да могат да бъдат определени като спомагателни дейности и </w:t>
            </w:r>
            <w:r w:rsidR="009D32E1" w:rsidRPr="000309DE">
              <w:rPr>
                <w:szCs w:val="24"/>
                <w:u w:val="single"/>
              </w:rPr>
              <w:t>не поставя изискване</w:t>
            </w:r>
            <w:r w:rsidR="009D32E1">
              <w:rPr>
                <w:szCs w:val="24"/>
              </w:rPr>
              <w:t xml:space="preserve"> за ограничен капацитет. </w:t>
            </w:r>
            <w:r w:rsidR="00C51F65">
              <w:rPr>
                <w:szCs w:val="24"/>
              </w:rPr>
              <w:t>Подобни съоръжения са определени като попадащи извън обхвата на правилата по държавните помощи</w:t>
            </w:r>
            <w:r w:rsidR="007C0E67">
              <w:rPr>
                <w:szCs w:val="24"/>
              </w:rPr>
              <w:t xml:space="preserve"> не защото са със спомагателно ползване, а защото</w:t>
            </w:r>
            <w:r w:rsidR="00C51F65">
              <w:rPr>
                <w:szCs w:val="24"/>
              </w:rPr>
              <w:t xml:space="preserve">, както е посочено в </w:t>
            </w:r>
            <w:r w:rsidR="00C51F65" w:rsidRPr="00C51F65">
              <w:rPr>
                <w:szCs w:val="24"/>
              </w:rPr>
              <w:t>Известието „</w:t>
            </w:r>
            <w:r w:rsidR="00C51F65" w:rsidRPr="00C51F65">
              <w:rPr>
                <w:i/>
                <w:szCs w:val="24"/>
              </w:rPr>
              <w:t>е малко вероятно да привлекат клиенти от други държави членки и тяхното финансиране е малко вероятно да окаже повече от пренебрежим ефект върху трансграничните инвестиции или установяване“.</w:t>
            </w:r>
          </w:p>
          <w:p w:rsidR="00DF6994" w:rsidRDefault="009D32E1" w:rsidP="000309DE">
            <w:pPr>
              <w:spacing w:before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УО на ОПРР е поставил такова ограничение </w:t>
            </w:r>
            <w:r w:rsidR="000309DE">
              <w:rPr>
                <w:szCs w:val="24"/>
              </w:rPr>
              <w:t xml:space="preserve">не във връзка с правилата по държавните помощи, а с цел уточняване на допустимостта за финансиране на такива помещения, предвид </w:t>
            </w:r>
            <w:r w:rsidR="00463419">
              <w:rPr>
                <w:szCs w:val="24"/>
              </w:rPr>
              <w:t>факта</w:t>
            </w:r>
            <w:r>
              <w:rPr>
                <w:szCs w:val="24"/>
              </w:rPr>
              <w:t xml:space="preserve">, че целта </w:t>
            </w:r>
            <w:r w:rsidR="00463419">
              <w:rPr>
                <w:szCs w:val="24"/>
              </w:rPr>
              <w:t xml:space="preserve">на мерките </w:t>
            </w:r>
            <w:r>
              <w:rPr>
                <w:szCs w:val="24"/>
              </w:rPr>
              <w:t xml:space="preserve">е </w:t>
            </w:r>
            <w:r w:rsidR="00463419">
              <w:rPr>
                <w:szCs w:val="24"/>
              </w:rPr>
              <w:t xml:space="preserve">осигуряването на </w:t>
            </w:r>
            <w:r>
              <w:rPr>
                <w:szCs w:val="24"/>
              </w:rPr>
              <w:t>енергийна ефективност на административните сгради</w:t>
            </w:r>
            <w:r w:rsidR="00463419">
              <w:rPr>
                <w:szCs w:val="24"/>
              </w:rPr>
              <w:t xml:space="preserve"> на публичната администра</w:t>
            </w:r>
            <w:r w:rsidR="00674A9F">
              <w:rPr>
                <w:szCs w:val="24"/>
              </w:rPr>
              <w:t>ц</w:t>
            </w:r>
            <w:r w:rsidR="00463419">
              <w:rPr>
                <w:szCs w:val="24"/>
              </w:rPr>
              <w:t>ия</w:t>
            </w:r>
            <w:r w:rsidR="00AC3061">
              <w:rPr>
                <w:szCs w:val="24"/>
              </w:rPr>
              <w:t xml:space="preserve"> или на сградите от общинската социална, културна и образователна инфраструктура</w:t>
            </w:r>
            <w:r>
              <w:rPr>
                <w:szCs w:val="24"/>
              </w:rPr>
              <w:t xml:space="preserve">. За да се </w:t>
            </w:r>
            <w:r w:rsidR="00463419">
              <w:rPr>
                <w:szCs w:val="24"/>
              </w:rPr>
              <w:t>приеме</w:t>
            </w:r>
            <w:r>
              <w:rPr>
                <w:szCs w:val="24"/>
              </w:rPr>
              <w:t xml:space="preserve">, че </w:t>
            </w:r>
            <w:r w:rsidR="001D7C03">
              <w:rPr>
                <w:szCs w:val="24"/>
              </w:rPr>
              <w:t xml:space="preserve">една сграда </w:t>
            </w:r>
            <w:r w:rsidR="00463419">
              <w:rPr>
                <w:szCs w:val="24"/>
              </w:rPr>
              <w:t xml:space="preserve">действително представлява административна сграда </w:t>
            </w:r>
            <w:r w:rsidR="00C3405E">
              <w:rPr>
                <w:szCs w:val="24"/>
              </w:rPr>
              <w:t xml:space="preserve">на държавната или общинска администрация или образователна, социална или културна инфраструктура </w:t>
            </w:r>
            <w:r w:rsidR="00674A9F">
              <w:rPr>
                <w:szCs w:val="24"/>
              </w:rPr>
              <w:t>и е допустима за финансиране,</w:t>
            </w:r>
            <w:r w:rsidR="00463419">
              <w:rPr>
                <w:szCs w:val="24"/>
              </w:rPr>
              <w:t xml:space="preserve"> </w:t>
            </w:r>
            <w:r w:rsidR="001D7C03">
              <w:rPr>
                <w:szCs w:val="24"/>
              </w:rPr>
              <w:t>всички помещения в нея</w:t>
            </w:r>
            <w:r w:rsidR="00463419">
              <w:rPr>
                <w:szCs w:val="24"/>
              </w:rPr>
              <w:t xml:space="preserve"> следва да се използват </w:t>
            </w:r>
            <w:r w:rsidR="00C3405E">
              <w:rPr>
                <w:szCs w:val="24"/>
              </w:rPr>
              <w:t xml:space="preserve">в съответствие с обичайното предназначение на сградата (например </w:t>
            </w:r>
            <w:r w:rsidR="00463419">
              <w:rPr>
                <w:szCs w:val="24"/>
              </w:rPr>
              <w:t>за обичайните функции на публичните администрации</w:t>
            </w:r>
            <w:r w:rsidR="00C3405E">
              <w:rPr>
                <w:szCs w:val="24"/>
              </w:rPr>
              <w:t>)</w:t>
            </w:r>
            <w:r w:rsidR="00463419">
              <w:rPr>
                <w:szCs w:val="24"/>
              </w:rPr>
              <w:t xml:space="preserve"> или, ако има помещения, които се ползват за други цели, то те трябва да са </w:t>
            </w:r>
            <w:r w:rsidR="00463419">
              <w:rPr>
                <w:szCs w:val="24"/>
              </w:rPr>
              <w:lastRenderedPageBreak/>
              <w:t xml:space="preserve">ограничени и </w:t>
            </w:r>
            <w:r w:rsidR="00674A9F">
              <w:rPr>
                <w:szCs w:val="24"/>
              </w:rPr>
              <w:t>д</w:t>
            </w:r>
            <w:r w:rsidR="00463419">
              <w:rPr>
                <w:szCs w:val="24"/>
              </w:rPr>
              <w:t>а заемат малка част от сградата</w:t>
            </w:r>
            <w:r w:rsidR="001D7C03">
              <w:rPr>
                <w:szCs w:val="24"/>
              </w:rPr>
              <w:t xml:space="preserve">. </w:t>
            </w:r>
          </w:p>
          <w:p w:rsidR="00B55C8E" w:rsidRDefault="000309DE" w:rsidP="000309DE">
            <w:pPr>
              <w:spacing w:before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Ако не се допусне такова изключение всяко помещение, което е с други цели, следва да се определи като недопустимо за финансиране, тъй като не </w:t>
            </w:r>
            <w:r w:rsidR="00C3405E">
              <w:rPr>
                <w:szCs w:val="24"/>
              </w:rPr>
              <w:t>се ползва за предоставянето на съответните административни, социални, образователни, културни и т.н. услуги</w:t>
            </w:r>
            <w:r>
              <w:rPr>
                <w:szCs w:val="24"/>
              </w:rPr>
              <w:t>. Отделянето на малка част от сградата като недопустима за финансиране е свързано с разработване на отделни КСС и отделно отчитане на разходите и налага излишна административна тежест както за бенефициентите, така и за УО на ОПРР. В тази връзка, на база на опита от предишната процедура</w:t>
            </w:r>
            <w:r w:rsidR="00B55C8E">
              <w:rPr>
                <w:szCs w:val="24"/>
              </w:rPr>
              <w:t xml:space="preserve"> по Приоритетна ос 2</w:t>
            </w:r>
            <w:r>
              <w:rPr>
                <w:szCs w:val="24"/>
              </w:rPr>
              <w:t>,</w:t>
            </w:r>
            <w:r w:rsidR="00C51F65">
              <w:rPr>
                <w:szCs w:val="24"/>
              </w:rPr>
              <w:t xml:space="preserve"> с цел облекчаване на процедурите по изпълнение на проектите, УО на ОПРР въвежда съответното ограничение, с цел да поясни кога „административния</w:t>
            </w:r>
            <w:r w:rsidR="00B55C8E">
              <w:rPr>
                <w:szCs w:val="24"/>
              </w:rPr>
              <w:t>т</w:t>
            </w:r>
            <w:r w:rsidR="00C3405E">
              <w:rPr>
                <w:szCs w:val="24"/>
              </w:rPr>
              <w:t>“ (културен/социален/образователен)</w:t>
            </w:r>
            <w:r w:rsidR="00C51F65">
              <w:rPr>
                <w:szCs w:val="24"/>
              </w:rPr>
              <w:t xml:space="preserve"> характер на сградата</w:t>
            </w:r>
            <w:r w:rsidR="007C0E67">
              <w:rPr>
                <w:szCs w:val="24"/>
              </w:rPr>
              <w:t xml:space="preserve"> </w:t>
            </w:r>
            <w:r w:rsidR="00C51F65">
              <w:rPr>
                <w:szCs w:val="24"/>
              </w:rPr>
              <w:t>действително е „административен“</w:t>
            </w:r>
            <w:r w:rsidR="00C3405E">
              <w:rPr>
                <w:szCs w:val="24"/>
              </w:rPr>
              <w:t xml:space="preserve"> и т.н.</w:t>
            </w:r>
            <w:r w:rsidR="00C51F65">
              <w:rPr>
                <w:szCs w:val="24"/>
              </w:rPr>
              <w:t xml:space="preserve">. </w:t>
            </w:r>
          </w:p>
          <w:p w:rsidR="00A5747B" w:rsidRPr="008C536F" w:rsidRDefault="00E06A90" w:rsidP="00B55C8E">
            <w:pPr>
              <w:spacing w:before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От гледна точка на правилата по държавните помощи въвеждането на такова ограничение </w:t>
            </w:r>
            <w:r w:rsidR="00DB0007">
              <w:rPr>
                <w:szCs w:val="24"/>
              </w:rPr>
              <w:t xml:space="preserve">просто </w:t>
            </w:r>
            <w:r>
              <w:rPr>
                <w:szCs w:val="24"/>
              </w:rPr>
              <w:t>предоставя допълнителна сигурност на УО на ОПРР.</w:t>
            </w:r>
            <w:r w:rsidR="00B55C8E">
              <w:rPr>
                <w:szCs w:val="24"/>
              </w:rPr>
              <w:t xml:space="preserve"> </w:t>
            </w:r>
            <w:r w:rsidR="00674A9F">
              <w:rPr>
                <w:szCs w:val="24"/>
              </w:rPr>
              <w:t>Прагът</w:t>
            </w:r>
            <w:r w:rsidR="00463419">
              <w:rPr>
                <w:szCs w:val="24"/>
              </w:rPr>
              <w:t xml:space="preserve"> от 20% УО на ОПРР </w:t>
            </w:r>
            <w:r w:rsidR="00674A9F">
              <w:rPr>
                <w:szCs w:val="24"/>
              </w:rPr>
              <w:t>определя по аналогия на прага за съпътстваща дейност, определен от ЕК</w:t>
            </w:r>
            <w:r w:rsidR="00C51F65">
              <w:rPr>
                <w:szCs w:val="24"/>
              </w:rPr>
              <w:t xml:space="preserve"> в т. 207 от Известието</w:t>
            </w:r>
            <w:r w:rsidR="00674A9F">
              <w:rPr>
                <w:szCs w:val="24"/>
              </w:rPr>
              <w:t>, както и на база</w:t>
            </w:r>
            <w:r w:rsidR="00C51F65">
              <w:rPr>
                <w:szCs w:val="24"/>
              </w:rPr>
              <w:t>та</w:t>
            </w:r>
            <w:r w:rsidR="00674A9F">
              <w:rPr>
                <w:szCs w:val="24"/>
              </w:rPr>
              <w:t xml:space="preserve"> на чл. 53 от ОРГО, който допуска 20% от финансираната културна инфраструктура да не се ползва за културни цели. Както ЕК приема, че 20% от капацитета не изменя характера на културната инфраструктура, така УО на ОПРР приема, че 20% от капацитета не изменят характера на </w:t>
            </w:r>
            <w:r w:rsidR="00C3405E">
              <w:rPr>
                <w:szCs w:val="24"/>
              </w:rPr>
              <w:t xml:space="preserve">административната, социалната или </w:t>
            </w:r>
            <w:r w:rsidR="00AB07C0">
              <w:rPr>
                <w:szCs w:val="24"/>
              </w:rPr>
              <w:t>образователната</w:t>
            </w:r>
            <w:r w:rsidR="00674A9F">
              <w:rPr>
                <w:szCs w:val="24"/>
              </w:rPr>
              <w:t xml:space="preserve"> инфраструктура.</w:t>
            </w:r>
            <w:r w:rsidR="00C51F65">
              <w:rPr>
                <w:szCs w:val="24"/>
              </w:rPr>
              <w:t xml:space="preserve"> </w:t>
            </w:r>
          </w:p>
        </w:tc>
      </w:tr>
      <w:tr w:rsidR="00D40B53" w:rsidTr="00674A9F">
        <w:tc>
          <w:tcPr>
            <w:tcW w:w="534" w:type="dxa"/>
          </w:tcPr>
          <w:p w:rsidR="00D40B53" w:rsidRDefault="00D40B53" w:rsidP="00A5747B">
            <w:pPr>
              <w:numPr>
                <w:ilvl w:val="0"/>
                <w:numId w:val="3"/>
              </w:numPr>
              <w:tabs>
                <w:tab w:val="left" w:pos="142"/>
              </w:tabs>
              <w:ind w:left="142" w:firstLine="0"/>
            </w:pPr>
          </w:p>
        </w:tc>
        <w:tc>
          <w:tcPr>
            <w:tcW w:w="4961" w:type="dxa"/>
          </w:tcPr>
          <w:p w:rsidR="00D40B53" w:rsidRPr="00DF6994" w:rsidRDefault="0001176C" w:rsidP="00DF6994">
            <w:pPr>
              <w:spacing w:before="120" w:after="120"/>
              <w:jc w:val="both"/>
              <w:rPr>
                <w:lang w:bidi="bg-BG"/>
              </w:rPr>
            </w:pPr>
            <w:r w:rsidRPr="0001176C">
              <w:rPr>
                <w:lang w:bidi="bg-BG"/>
              </w:rPr>
              <w:t>Във връзка с инвестициите в образователна инфраструктура на стр. 48-49 от Насоките, приемаме по принцип изложените аргументи на УО, като препоръчваме да добавите в Насоките и че режим „непомощ“ се прилага, само когато обектите са част от общественото образование, организирано в рамките на националната образователна система, или че други обекти на образователната инфраструктура (които не са част от посочената система) не са допустими.</w:t>
            </w:r>
          </w:p>
        </w:tc>
        <w:tc>
          <w:tcPr>
            <w:tcW w:w="8930" w:type="dxa"/>
          </w:tcPr>
          <w:p w:rsidR="00D40B53" w:rsidRPr="008C536F" w:rsidRDefault="00F65BED" w:rsidP="000309DE">
            <w:pPr>
              <w:spacing w:before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Отразено в т. </w:t>
            </w:r>
            <w:bookmarkStart w:id="0" w:name="_GoBack"/>
            <w:bookmarkEnd w:id="0"/>
            <w:r w:rsidR="0001176C" w:rsidRPr="0001176C">
              <w:rPr>
                <w:szCs w:val="24"/>
              </w:rPr>
              <w:t>15.2.</w:t>
            </w:r>
            <w:r w:rsidR="0001176C" w:rsidRPr="0001176C">
              <w:rPr>
                <w:szCs w:val="24"/>
                <w:lang w:val="en-US"/>
              </w:rPr>
              <w:t>V</w:t>
            </w:r>
            <w:r w:rsidR="0001176C" w:rsidRPr="0001176C">
              <w:rPr>
                <w:szCs w:val="24"/>
              </w:rPr>
              <w:t xml:space="preserve"> от Насоките за кандидатстване.</w:t>
            </w:r>
          </w:p>
        </w:tc>
      </w:tr>
      <w:tr w:rsidR="00D25415" w:rsidTr="00674A9F">
        <w:tc>
          <w:tcPr>
            <w:tcW w:w="534" w:type="dxa"/>
          </w:tcPr>
          <w:p w:rsidR="00D25415" w:rsidRDefault="00D25415" w:rsidP="00A5747B">
            <w:pPr>
              <w:numPr>
                <w:ilvl w:val="0"/>
                <w:numId w:val="3"/>
              </w:numPr>
              <w:tabs>
                <w:tab w:val="left" w:pos="142"/>
              </w:tabs>
              <w:ind w:left="142" w:firstLine="0"/>
            </w:pPr>
          </w:p>
        </w:tc>
        <w:tc>
          <w:tcPr>
            <w:tcW w:w="4961" w:type="dxa"/>
          </w:tcPr>
          <w:p w:rsidR="00D25415" w:rsidRPr="0001176C" w:rsidRDefault="00D25415" w:rsidP="00DF6994">
            <w:pPr>
              <w:spacing w:before="120" w:after="120"/>
              <w:jc w:val="both"/>
              <w:rPr>
                <w:lang w:bidi="bg-BG"/>
              </w:rPr>
            </w:pPr>
            <w:r w:rsidRPr="00D25415">
              <w:rPr>
                <w:lang w:bidi="bg-BG"/>
              </w:rPr>
              <w:t xml:space="preserve">Относно неприложимостта на критерия „засягане на търговията между държавите членки“ по чл. 107 от ДФЕС, обръщаме внимание, че Министерството на финансите няма </w:t>
            </w:r>
            <w:r w:rsidRPr="00D25415">
              <w:rPr>
                <w:lang w:bidi="bg-BG"/>
              </w:rPr>
              <w:lastRenderedPageBreak/>
              <w:t>функционална компетентност да потвърди или отхвърли подобна възможност, поради което считаме, че съгласно общите правила тази отговорност е на администратора.</w:t>
            </w:r>
          </w:p>
        </w:tc>
        <w:tc>
          <w:tcPr>
            <w:tcW w:w="8930" w:type="dxa"/>
          </w:tcPr>
          <w:p w:rsidR="00D25415" w:rsidRPr="0001176C" w:rsidRDefault="004E0B76" w:rsidP="000309DE">
            <w:pPr>
              <w:spacing w:before="120"/>
              <w:jc w:val="both"/>
              <w:rPr>
                <w:szCs w:val="24"/>
              </w:rPr>
            </w:pPr>
            <w:r w:rsidRPr="004E0B76">
              <w:rPr>
                <w:szCs w:val="24"/>
              </w:rPr>
              <w:lastRenderedPageBreak/>
              <w:t xml:space="preserve">За </w:t>
            </w:r>
            <w:r w:rsidRPr="004E0B76">
              <w:rPr>
                <w:szCs w:val="24"/>
                <w:lang w:bidi="bg-BG"/>
              </w:rPr>
              <w:t xml:space="preserve">публични общински сгради от културната инфраструктура в Приложение О2 е предвидено за всяка сграда по отделно да се проверява доколко финансирането й може да се определи като местна инфраструктура, която не засяга търговията между държавите членки. При разработването на въпросите за проверка УО на ОПРР се е постарал в </w:t>
            </w:r>
            <w:r w:rsidRPr="004E0B76">
              <w:rPr>
                <w:szCs w:val="24"/>
                <w:lang w:bidi="bg-BG"/>
              </w:rPr>
              <w:lastRenderedPageBreak/>
              <w:t>максимална степен да се съобрази с условията, от решенията, цитирани в т. 197 от Известието.</w:t>
            </w:r>
          </w:p>
        </w:tc>
      </w:tr>
      <w:tr w:rsidR="004E0B76" w:rsidTr="00674A9F">
        <w:tc>
          <w:tcPr>
            <w:tcW w:w="534" w:type="dxa"/>
          </w:tcPr>
          <w:p w:rsidR="004E0B76" w:rsidRDefault="004E0B76" w:rsidP="00A5747B">
            <w:pPr>
              <w:numPr>
                <w:ilvl w:val="0"/>
                <w:numId w:val="3"/>
              </w:numPr>
              <w:tabs>
                <w:tab w:val="left" w:pos="142"/>
              </w:tabs>
              <w:ind w:left="142" w:firstLine="0"/>
            </w:pPr>
          </w:p>
        </w:tc>
        <w:tc>
          <w:tcPr>
            <w:tcW w:w="4961" w:type="dxa"/>
          </w:tcPr>
          <w:p w:rsidR="004E0B76" w:rsidRPr="00D25415" w:rsidRDefault="004E0B76" w:rsidP="004E0B76">
            <w:pPr>
              <w:spacing w:before="120" w:after="120"/>
              <w:jc w:val="both"/>
              <w:rPr>
                <w:lang w:bidi="bg-BG"/>
              </w:rPr>
            </w:pPr>
            <w:r>
              <w:rPr>
                <w:lang w:bidi="bg-BG"/>
              </w:rPr>
              <w:t>Обръщаме внимание, че Администраторът на помощ е необходимо да прилага подходящи контролни механизми, които да гарантират изпълнението на всички приложими условия на Регламент (ЕС) № 1407/2013 и/или на всички приложими условия на избрания режим „непомощ“.</w:t>
            </w:r>
          </w:p>
        </w:tc>
        <w:tc>
          <w:tcPr>
            <w:tcW w:w="8930" w:type="dxa"/>
          </w:tcPr>
          <w:p w:rsidR="004E0B76" w:rsidRPr="004E0B76" w:rsidRDefault="004E0B76" w:rsidP="000309DE">
            <w:pPr>
              <w:spacing w:before="120"/>
              <w:jc w:val="both"/>
              <w:rPr>
                <w:szCs w:val="24"/>
              </w:rPr>
            </w:pPr>
            <w:r w:rsidRPr="004E0B76">
              <w:rPr>
                <w:szCs w:val="24"/>
              </w:rPr>
              <w:t>УО на ОПРР прилага необходимите контролни механизми, в случаите в които е администратор на помощ. Задълженията на общините като администратори на помощ, включително да осигурят съответствие на помощта с всички приложими изисквания на законодателството на национално и европейско ниво и да упражняват контрол за спазване на мерките и условията, при които помощта е одобрена са въведени в чл. 2 от Общите условия към административния договор.</w:t>
            </w:r>
          </w:p>
        </w:tc>
      </w:tr>
      <w:tr w:rsidR="0045729E" w:rsidTr="00674A9F">
        <w:tc>
          <w:tcPr>
            <w:tcW w:w="534" w:type="dxa"/>
          </w:tcPr>
          <w:p w:rsidR="0045729E" w:rsidRDefault="0045729E" w:rsidP="00A5747B">
            <w:pPr>
              <w:numPr>
                <w:ilvl w:val="0"/>
                <w:numId w:val="3"/>
              </w:numPr>
              <w:tabs>
                <w:tab w:val="left" w:pos="142"/>
              </w:tabs>
              <w:ind w:left="142" w:firstLine="0"/>
            </w:pPr>
          </w:p>
        </w:tc>
        <w:tc>
          <w:tcPr>
            <w:tcW w:w="4961" w:type="dxa"/>
          </w:tcPr>
          <w:p w:rsidR="0045729E" w:rsidRDefault="0045729E" w:rsidP="004E0B76">
            <w:pPr>
              <w:spacing w:before="120" w:after="120"/>
              <w:jc w:val="both"/>
              <w:rPr>
                <w:lang w:bidi="bg-BG"/>
              </w:rPr>
            </w:pPr>
            <w:r w:rsidRPr="0045729E">
              <w:rPr>
                <w:lang w:bidi="bg-BG"/>
              </w:rPr>
              <w:t>В Приложение 02, предлагаме да се поясни че отговорностите на администратор по чл. 9, ал. 5 от Закона за държавните помощи, се изпълняват съобразно обема на делегираните правомощия.</w:t>
            </w:r>
          </w:p>
        </w:tc>
        <w:tc>
          <w:tcPr>
            <w:tcW w:w="8930" w:type="dxa"/>
          </w:tcPr>
          <w:p w:rsidR="0045729E" w:rsidRPr="004E0B76" w:rsidRDefault="0045729E" w:rsidP="0045729E">
            <w:pPr>
              <w:spacing w:before="120"/>
              <w:jc w:val="both"/>
              <w:rPr>
                <w:szCs w:val="24"/>
              </w:rPr>
            </w:pPr>
            <w:r w:rsidRPr="0045729E">
              <w:rPr>
                <w:szCs w:val="24"/>
              </w:rPr>
              <w:t>Отразено</w:t>
            </w:r>
            <w:r w:rsidRPr="0045729E">
              <w:rPr>
                <w:szCs w:val="24"/>
                <w:lang w:bidi="bg-BG"/>
              </w:rPr>
              <w:t xml:space="preserve"> в т. </w:t>
            </w:r>
            <w:r>
              <w:rPr>
                <w:szCs w:val="24"/>
                <w:lang w:bidi="bg-BG"/>
              </w:rPr>
              <w:t>2</w:t>
            </w:r>
            <w:r w:rsidRPr="0045729E">
              <w:rPr>
                <w:szCs w:val="24"/>
                <w:lang w:bidi="bg-BG"/>
              </w:rPr>
              <w:t xml:space="preserve"> </w:t>
            </w:r>
            <w:r>
              <w:rPr>
                <w:szCs w:val="24"/>
                <w:lang w:bidi="bg-BG"/>
              </w:rPr>
              <w:t xml:space="preserve">от </w:t>
            </w:r>
            <w:r w:rsidRPr="0045729E">
              <w:rPr>
                <w:szCs w:val="24"/>
                <w:lang w:bidi="bg-BG"/>
              </w:rPr>
              <w:t>приложение О2.</w:t>
            </w:r>
          </w:p>
        </w:tc>
      </w:tr>
      <w:tr w:rsidR="00DD3FE0" w:rsidTr="00674A9F">
        <w:tc>
          <w:tcPr>
            <w:tcW w:w="534" w:type="dxa"/>
          </w:tcPr>
          <w:p w:rsidR="00DD3FE0" w:rsidRDefault="00DD3FE0" w:rsidP="00A5747B">
            <w:pPr>
              <w:numPr>
                <w:ilvl w:val="0"/>
                <w:numId w:val="3"/>
              </w:numPr>
              <w:tabs>
                <w:tab w:val="left" w:pos="142"/>
              </w:tabs>
              <w:ind w:left="142" w:firstLine="0"/>
            </w:pPr>
          </w:p>
        </w:tc>
        <w:tc>
          <w:tcPr>
            <w:tcW w:w="4961" w:type="dxa"/>
          </w:tcPr>
          <w:p w:rsidR="00DD3FE0" w:rsidRDefault="00DD3FE0" w:rsidP="004E0B76">
            <w:pPr>
              <w:spacing w:before="120" w:after="120"/>
              <w:jc w:val="both"/>
              <w:rPr>
                <w:lang w:bidi="bg-BG"/>
              </w:rPr>
            </w:pPr>
            <w:r w:rsidRPr="00DD3FE0">
              <w:rPr>
                <w:lang w:bidi="bg-BG"/>
              </w:rPr>
              <w:t xml:space="preserve">В съответствие с разпоредбите на </w:t>
            </w:r>
            <w:proofErr w:type="spellStart"/>
            <w:r w:rsidRPr="00DD3FE0">
              <w:rPr>
                <w:lang w:bidi="bg-BG"/>
              </w:rPr>
              <w:t>коригендума</w:t>
            </w:r>
            <w:proofErr w:type="spellEnd"/>
            <w:r w:rsidRPr="00DD3FE0">
              <w:rPr>
                <w:lang w:bidi="bg-BG"/>
              </w:rPr>
              <w:t xml:space="preserve"> на Регламента от 05.07.2014 г. (</w:t>
            </w:r>
            <w:r w:rsidRPr="00DD3FE0">
              <w:rPr>
                <w:lang w:bidi="en-US"/>
              </w:rPr>
              <w:t>OB</w:t>
            </w:r>
            <w:r w:rsidRPr="00DD3FE0">
              <w:rPr>
                <w:lang w:bidi="bg-BG"/>
              </w:rPr>
              <w:t xml:space="preserve"> </w:t>
            </w:r>
            <w:r w:rsidRPr="00DD3FE0">
              <w:rPr>
                <w:lang w:bidi="en-US"/>
              </w:rPr>
              <w:t>L</w:t>
            </w:r>
            <w:r w:rsidRPr="00DD3FE0">
              <w:rPr>
                <w:lang w:bidi="bg-BG"/>
              </w:rPr>
              <w:t xml:space="preserve"> 198/14), препоръчваме навсякъде в текстовете на документите по процедурата в частта по Регламент (ЕС) № 1407/2013 използваните изрази „шосейни товарни превози“ и „сухопътни товарни превози“ да се заменят с израза „автомобилни товарни превози“.</w:t>
            </w:r>
          </w:p>
        </w:tc>
        <w:tc>
          <w:tcPr>
            <w:tcW w:w="8930" w:type="dxa"/>
          </w:tcPr>
          <w:p w:rsidR="00DD3FE0" w:rsidRPr="004E0B76" w:rsidRDefault="00DD3FE0" w:rsidP="000309DE">
            <w:pPr>
              <w:spacing w:before="120"/>
              <w:jc w:val="both"/>
              <w:rPr>
                <w:szCs w:val="24"/>
              </w:rPr>
            </w:pPr>
            <w:r w:rsidRPr="00DD3FE0">
              <w:rPr>
                <w:szCs w:val="24"/>
              </w:rPr>
              <w:t>Отразено</w:t>
            </w:r>
            <w:r w:rsidRPr="00DD3FE0">
              <w:rPr>
                <w:lang w:bidi="bg-BG"/>
              </w:rPr>
              <w:t xml:space="preserve"> </w:t>
            </w:r>
            <w:r w:rsidRPr="00DD3FE0">
              <w:rPr>
                <w:szCs w:val="24"/>
                <w:lang w:bidi="bg-BG"/>
              </w:rPr>
              <w:t>навсякъде в текстовете на</w:t>
            </w:r>
            <w:r>
              <w:rPr>
                <w:szCs w:val="24"/>
                <w:lang w:bidi="bg-BG"/>
              </w:rPr>
              <w:t xml:space="preserve"> приложение О2</w:t>
            </w:r>
            <w:r w:rsidR="00B17E6C">
              <w:rPr>
                <w:szCs w:val="24"/>
                <w:lang w:bidi="bg-BG"/>
              </w:rPr>
              <w:t>.</w:t>
            </w:r>
          </w:p>
        </w:tc>
      </w:tr>
      <w:tr w:rsidR="002773CD" w:rsidTr="00674A9F">
        <w:tc>
          <w:tcPr>
            <w:tcW w:w="534" w:type="dxa"/>
          </w:tcPr>
          <w:p w:rsidR="002773CD" w:rsidRDefault="002773CD" w:rsidP="00A5747B">
            <w:pPr>
              <w:numPr>
                <w:ilvl w:val="0"/>
                <w:numId w:val="3"/>
              </w:numPr>
              <w:tabs>
                <w:tab w:val="left" w:pos="142"/>
              </w:tabs>
              <w:ind w:left="142" w:firstLine="0"/>
            </w:pPr>
          </w:p>
        </w:tc>
        <w:tc>
          <w:tcPr>
            <w:tcW w:w="4961" w:type="dxa"/>
          </w:tcPr>
          <w:p w:rsidR="002773CD" w:rsidRPr="00DD3FE0" w:rsidRDefault="0061360C" w:rsidP="004E0B76">
            <w:pPr>
              <w:spacing w:before="120" w:after="120"/>
              <w:jc w:val="both"/>
              <w:rPr>
                <w:lang w:bidi="bg-BG"/>
              </w:rPr>
            </w:pPr>
            <w:r>
              <w:rPr>
                <w:lang w:bidi="bg-BG"/>
              </w:rPr>
              <w:t>За с</w:t>
            </w:r>
            <w:r w:rsidRPr="0061360C">
              <w:rPr>
                <w:lang w:bidi="bg-BG"/>
              </w:rPr>
              <w:t>лучаите, когато БФП ще се предоставя като подкрепа, допълваща финансов инструмент, предлагаме да определите кръга на приложимите режими съгласувано с ФМФИБ. Аргументът ни е, че следва ясно да се определи приложимостта на един и същи режим на помощ към едно проектно предложение и/и</w:t>
            </w:r>
            <w:r>
              <w:rPr>
                <w:lang w:bidi="bg-BG"/>
              </w:rPr>
              <w:t>ли да се предвиди ясно разделение/обособяван</w:t>
            </w:r>
            <w:r w:rsidRPr="0061360C">
              <w:rPr>
                <w:lang w:bidi="bg-BG"/>
              </w:rPr>
              <w:t xml:space="preserve">е на дейности и разходи в </w:t>
            </w:r>
            <w:r w:rsidRPr="0061360C">
              <w:rPr>
                <w:lang w:bidi="bg-BG"/>
              </w:rPr>
              <w:lastRenderedPageBreak/>
              <w:t>рамките на едно предложение, така че да могат да се приложат различни</w:t>
            </w:r>
            <w:r>
              <w:rPr>
                <w:lang w:bidi="bg-BG"/>
              </w:rPr>
              <w:t xml:space="preserve"> режими и да се гарантира спазването на правилата за </w:t>
            </w:r>
            <w:proofErr w:type="spellStart"/>
            <w:r>
              <w:rPr>
                <w:lang w:bidi="bg-BG"/>
              </w:rPr>
              <w:t>кумулиране</w:t>
            </w:r>
            <w:proofErr w:type="spellEnd"/>
            <w:r>
              <w:rPr>
                <w:lang w:bidi="bg-BG"/>
              </w:rPr>
              <w:t xml:space="preserve"> на различни помощи.</w:t>
            </w:r>
          </w:p>
        </w:tc>
        <w:tc>
          <w:tcPr>
            <w:tcW w:w="8930" w:type="dxa"/>
          </w:tcPr>
          <w:p w:rsidR="00623730" w:rsidRPr="00DD3FE0" w:rsidRDefault="004275AC" w:rsidP="00623730">
            <w:pPr>
              <w:spacing w:before="12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Съгласно Насоките за кандидатстване п</w:t>
            </w:r>
            <w:r w:rsidR="00623730" w:rsidRPr="00623730">
              <w:rPr>
                <w:szCs w:val="24"/>
              </w:rPr>
              <w:t xml:space="preserve">роектите по </w:t>
            </w:r>
            <w:r w:rsidR="00623730">
              <w:rPr>
                <w:szCs w:val="24"/>
              </w:rPr>
              <w:t>процедурата</w:t>
            </w:r>
            <w:r w:rsidR="00623730" w:rsidRPr="00623730">
              <w:rPr>
                <w:szCs w:val="24"/>
              </w:rPr>
              <w:t xml:space="preserve"> ще се финансират изцяло с БФП</w:t>
            </w:r>
            <w:r w:rsidR="00623730">
              <w:rPr>
                <w:szCs w:val="24"/>
              </w:rPr>
              <w:t xml:space="preserve">. </w:t>
            </w:r>
            <w:r w:rsidR="0097476C">
              <w:rPr>
                <w:szCs w:val="24"/>
              </w:rPr>
              <w:t>Проектните предложения няма да бъдат</w:t>
            </w:r>
            <w:r w:rsidR="0097476C" w:rsidRPr="0097476C">
              <w:rPr>
                <w:szCs w:val="24"/>
              </w:rPr>
              <w:t xml:space="preserve"> </w:t>
            </w:r>
            <w:r w:rsidR="0097476C">
              <w:rPr>
                <w:szCs w:val="24"/>
              </w:rPr>
              <w:t xml:space="preserve">разглеждани и одобрявани </w:t>
            </w:r>
            <w:r w:rsidR="0097476C" w:rsidRPr="0097476C">
              <w:rPr>
                <w:szCs w:val="24"/>
              </w:rPr>
              <w:t>от страна на орган</w:t>
            </w:r>
            <w:r w:rsidR="0097476C">
              <w:rPr>
                <w:szCs w:val="24"/>
              </w:rPr>
              <w:t xml:space="preserve">изацията, изпълняваща финансови </w:t>
            </w:r>
            <w:r w:rsidR="0097476C" w:rsidRPr="0097476C">
              <w:rPr>
                <w:szCs w:val="24"/>
              </w:rPr>
              <w:t xml:space="preserve">инструменти </w:t>
            </w:r>
            <w:r w:rsidR="0097476C">
              <w:rPr>
                <w:szCs w:val="24"/>
              </w:rPr>
              <w:t xml:space="preserve">и не </w:t>
            </w:r>
            <w:r w:rsidR="00623730">
              <w:rPr>
                <w:szCs w:val="24"/>
              </w:rPr>
              <w:t xml:space="preserve">е предвидено </w:t>
            </w:r>
            <w:r w:rsidR="00623730" w:rsidRPr="00623730">
              <w:rPr>
                <w:szCs w:val="24"/>
              </w:rPr>
              <w:t>комбинирано</w:t>
            </w:r>
            <w:r w:rsidR="00623730">
              <w:rPr>
                <w:szCs w:val="24"/>
              </w:rPr>
              <w:t xml:space="preserve"> </w:t>
            </w:r>
            <w:proofErr w:type="spellStart"/>
            <w:r w:rsidR="00623730">
              <w:rPr>
                <w:szCs w:val="24"/>
              </w:rPr>
              <w:t>финнасиране</w:t>
            </w:r>
            <w:proofErr w:type="spellEnd"/>
            <w:r w:rsidR="00623730" w:rsidRPr="00623730">
              <w:rPr>
                <w:szCs w:val="24"/>
              </w:rPr>
              <w:t xml:space="preserve"> – ч</w:t>
            </w:r>
            <w:r w:rsidR="00623730">
              <w:rPr>
                <w:szCs w:val="24"/>
              </w:rPr>
              <w:t>рез финансови инструменти и БФП.</w:t>
            </w:r>
          </w:p>
          <w:p w:rsidR="002773CD" w:rsidRPr="00DD3FE0" w:rsidRDefault="002773CD" w:rsidP="00623730">
            <w:pPr>
              <w:spacing w:before="120"/>
              <w:jc w:val="both"/>
              <w:rPr>
                <w:szCs w:val="24"/>
              </w:rPr>
            </w:pPr>
          </w:p>
        </w:tc>
      </w:tr>
    </w:tbl>
    <w:p w:rsidR="00A5747B" w:rsidRPr="002E2570" w:rsidRDefault="00A5747B"/>
    <w:sectPr w:rsidR="00A5747B" w:rsidRPr="002E2570" w:rsidSect="00A574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2452C"/>
    <w:multiLevelType w:val="hybridMultilevel"/>
    <w:tmpl w:val="5D54BD22"/>
    <w:lvl w:ilvl="0" w:tplc="0402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0A95108"/>
    <w:multiLevelType w:val="hybridMultilevel"/>
    <w:tmpl w:val="E5ACBE48"/>
    <w:lvl w:ilvl="0" w:tplc="D932FC58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B22C8"/>
    <w:multiLevelType w:val="hybridMultilevel"/>
    <w:tmpl w:val="BAEECD26"/>
    <w:lvl w:ilvl="0" w:tplc="3CB66B1E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747B"/>
    <w:rsid w:val="0001176C"/>
    <w:rsid w:val="000309DE"/>
    <w:rsid w:val="00122F1B"/>
    <w:rsid w:val="00127C90"/>
    <w:rsid w:val="00131E55"/>
    <w:rsid w:val="00166E21"/>
    <w:rsid w:val="001D3200"/>
    <w:rsid w:val="001D7C03"/>
    <w:rsid w:val="00203445"/>
    <w:rsid w:val="00222EBA"/>
    <w:rsid w:val="00271D4D"/>
    <w:rsid w:val="002773CD"/>
    <w:rsid w:val="002E2570"/>
    <w:rsid w:val="00321AC7"/>
    <w:rsid w:val="003D16D8"/>
    <w:rsid w:val="003F7ADF"/>
    <w:rsid w:val="004275AC"/>
    <w:rsid w:val="0045729E"/>
    <w:rsid w:val="00463419"/>
    <w:rsid w:val="004E0B76"/>
    <w:rsid w:val="00510237"/>
    <w:rsid w:val="00552E99"/>
    <w:rsid w:val="0061360C"/>
    <w:rsid w:val="00623730"/>
    <w:rsid w:val="00674A9F"/>
    <w:rsid w:val="006A7367"/>
    <w:rsid w:val="00745C6F"/>
    <w:rsid w:val="007A746E"/>
    <w:rsid w:val="007C0E67"/>
    <w:rsid w:val="00823801"/>
    <w:rsid w:val="00834948"/>
    <w:rsid w:val="008C536F"/>
    <w:rsid w:val="009077D7"/>
    <w:rsid w:val="009349EF"/>
    <w:rsid w:val="0097476C"/>
    <w:rsid w:val="00976E77"/>
    <w:rsid w:val="009D32E1"/>
    <w:rsid w:val="00A5747B"/>
    <w:rsid w:val="00AB07C0"/>
    <w:rsid w:val="00AC3061"/>
    <w:rsid w:val="00AC7329"/>
    <w:rsid w:val="00B17E6C"/>
    <w:rsid w:val="00B55C8E"/>
    <w:rsid w:val="00B77DD1"/>
    <w:rsid w:val="00B96CA8"/>
    <w:rsid w:val="00BE07AC"/>
    <w:rsid w:val="00C06783"/>
    <w:rsid w:val="00C3405E"/>
    <w:rsid w:val="00C44E7E"/>
    <w:rsid w:val="00C51F65"/>
    <w:rsid w:val="00C64528"/>
    <w:rsid w:val="00D25415"/>
    <w:rsid w:val="00D40B53"/>
    <w:rsid w:val="00D5660E"/>
    <w:rsid w:val="00D8010B"/>
    <w:rsid w:val="00DB0007"/>
    <w:rsid w:val="00DD3FE0"/>
    <w:rsid w:val="00DF6994"/>
    <w:rsid w:val="00E06A90"/>
    <w:rsid w:val="00E551EB"/>
    <w:rsid w:val="00EB20F8"/>
    <w:rsid w:val="00F50294"/>
    <w:rsid w:val="00F65BED"/>
    <w:rsid w:val="00F77960"/>
    <w:rsid w:val="00FA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77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AC7329"/>
    <w:pPr>
      <w:keepNext/>
      <w:keepLines/>
      <w:spacing w:before="480" w:after="0" w:line="240" w:lineRule="auto"/>
      <w:ind w:left="720" w:hanging="36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F5029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Cs w:val="20"/>
      <w:lang w:val="en-US" w:eastAsia="bg-BG" w:bidi="my-MM"/>
    </w:rPr>
  </w:style>
  <w:style w:type="character" w:customStyle="1" w:styleId="10">
    <w:name w:val="Заглавие 1 Знак"/>
    <w:basedOn w:val="a0"/>
    <w:link w:val="1"/>
    <w:rsid w:val="00AC7329"/>
    <w:rPr>
      <w:rFonts w:eastAsiaTheme="majorEastAsia" w:cstheme="majorBidi"/>
      <w:b/>
      <w:bCs/>
      <w:sz w:val="28"/>
      <w:szCs w:val="28"/>
    </w:rPr>
  </w:style>
  <w:style w:type="table" w:styleId="a4">
    <w:name w:val="Table Grid"/>
    <w:basedOn w:val="a1"/>
    <w:uiPriority w:val="59"/>
    <w:rsid w:val="00A57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674A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674A9F"/>
    <w:pPr>
      <w:widowControl w:val="0"/>
      <w:shd w:val="clear" w:color="auto" w:fill="FFFFFF"/>
      <w:spacing w:after="0" w:line="0" w:lineRule="atLeast"/>
      <w:ind w:hanging="360"/>
    </w:pPr>
    <w:rPr>
      <w:rFonts w:eastAsia="Times New Roman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DF6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DF6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E7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AC7329"/>
    <w:pPr>
      <w:keepNext/>
      <w:keepLines/>
      <w:spacing w:before="480" w:after="0" w:line="240" w:lineRule="auto"/>
      <w:ind w:left="720" w:hanging="36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F5029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Cs w:val="20"/>
      <w:lang w:val="en-US" w:eastAsia="bg-BG" w:bidi="my-MM"/>
    </w:rPr>
  </w:style>
  <w:style w:type="character" w:customStyle="1" w:styleId="Heading1Char">
    <w:name w:val="Heading 1 Char"/>
    <w:basedOn w:val="DefaultParagraphFont"/>
    <w:link w:val="Heading1"/>
    <w:rsid w:val="00AC7329"/>
    <w:rPr>
      <w:rFonts w:eastAsiaTheme="majorEastAsia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A57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674A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74A9F"/>
    <w:pPr>
      <w:widowControl w:val="0"/>
      <w:shd w:val="clear" w:color="auto" w:fill="FFFFFF"/>
      <w:spacing w:after="0" w:line="0" w:lineRule="atLeast"/>
      <w:ind w:hanging="360"/>
    </w:pPr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StoyanovaE</dc:creator>
  <cp:lastModifiedBy>Krasimira Peicheva</cp:lastModifiedBy>
  <cp:revision>2</cp:revision>
  <cp:lastPrinted>2019-09-03T06:21:00Z</cp:lastPrinted>
  <dcterms:created xsi:type="dcterms:W3CDTF">2019-11-29T11:00:00Z</dcterms:created>
  <dcterms:modified xsi:type="dcterms:W3CDTF">2019-11-29T11:00:00Z</dcterms:modified>
</cp:coreProperties>
</file>