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6" w:rsidRPr="000B2E56" w:rsidRDefault="000B2E56" w:rsidP="000B2E5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 О Г О В О Р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Днес, ………………………………. г., в гр. ………………. между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Сдружение на собствениците ………………………………………….., БУЛСТАТ ……………………………, удостоверение за регистрация № …………….. от ……………, издадено от …………, представлявано от …………………………………………, ЕГН ……….., лична карта №….., издадена на….. от МВР - …………, с постоянен адрес ……………….., наричано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СС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………………………………………., кмет, представляващ община ……………………, наричана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по-долу ОБЩИНАТА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 основание одобрено Заявление за интерес и финансова помощ (ЗИФП) ………………….., във връзка с участието на сградата с адрес ………………………… по проект </w:t>
      </w:r>
      <w:r w:rsidR="000E610D" w:rsidRPr="00B07584">
        <w:rPr>
          <w:rFonts w:ascii="Times New Roman" w:hAnsi="Times New Roman"/>
          <w:sz w:val="24"/>
          <w:szCs w:val="24"/>
        </w:rPr>
        <w:t>за енергийна еф</w:t>
      </w:r>
      <w:r w:rsidR="000E610D">
        <w:rPr>
          <w:rFonts w:ascii="Times New Roman" w:hAnsi="Times New Roman"/>
          <w:sz w:val="24"/>
          <w:szCs w:val="24"/>
        </w:rPr>
        <w:t>е</w:t>
      </w:r>
      <w:r w:rsidR="000E610D" w:rsidRPr="00B07584">
        <w:rPr>
          <w:rFonts w:ascii="Times New Roman" w:hAnsi="Times New Roman"/>
          <w:sz w:val="24"/>
          <w:szCs w:val="24"/>
        </w:rPr>
        <w:t>ктивност на многофамилни жилищни сгради</w:t>
      </w:r>
      <w:r w:rsidR="007552B2">
        <w:rPr>
          <w:rFonts w:ascii="Times New Roman" w:eastAsia="Calibri" w:hAnsi="Times New Roman" w:cs="Times New Roman"/>
          <w:sz w:val="24"/>
          <w:szCs w:val="24"/>
        </w:rPr>
        <w:t xml:space="preserve"> на община ………..</w:t>
      </w:r>
      <w:r w:rsidRPr="000B2E56">
        <w:rPr>
          <w:rFonts w:ascii="Times New Roman" w:eastAsia="Calibri" w:hAnsi="Times New Roman" w:cs="Times New Roman"/>
          <w:sz w:val="24"/>
          <w:szCs w:val="24"/>
        </w:rPr>
        <w:t>п</w:t>
      </w:r>
      <w:r w:rsidR="007C0B0A">
        <w:rPr>
          <w:rFonts w:ascii="Times New Roman" w:eastAsia="Calibri" w:hAnsi="Times New Roman" w:cs="Times New Roman"/>
          <w:sz w:val="24"/>
          <w:szCs w:val="24"/>
        </w:rPr>
        <w:t>о ОПРР 2014 – 2020 г. (Проекта)</w:t>
      </w:r>
      <w:r w:rsidRPr="000B2E56">
        <w:rPr>
          <w:rFonts w:ascii="Times New Roman" w:eastAsia="Calibri" w:hAnsi="Times New Roman" w:cs="Times New Roman"/>
          <w:sz w:val="24"/>
          <w:szCs w:val="24"/>
        </w:rPr>
        <w:t>,</w:t>
      </w:r>
      <w:r w:rsidR="000E6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Се сключи настоящият договор за следното: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Предмет на договора</w:t>
      </w:r>
    </w:p>
    <w:p w:rsidR="000B2E56" w:rsidRPr="000E346E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Член 1. Предмет на 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обновяване за енергийна ефективност на сграда, на 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посочения по-горе адрес в рамките на </w:t>
      </w:r>
      <w:r w:rsidR="00B75E8F" w:rsidRPr="00EE22A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B75E8F" w:rsidRPr="00EE22A8">
        <w:rPr>
          <w:rFonts w:ascii="Times New Roman" w:hAnsi="Times New Roman"/>
          <w:sz w:val="24"/>
          <w:szCs w:val="24"/>
        </w:rPr>
        <w:t>за енергийна ефективност на многофамилни жилищни сгради</w:t>
      </w:r>
      <w:r w:rsidR="00B75E8F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по процедура 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BG16RFOP001-2.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>00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райони-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DC11EC" w:rsidRPr="00EE22A8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Приоритетна ос 2</w:t>
      </w:r>
      <w:r w:rsidRPr="00EE22A8">
        <w:rPr>
          <w:rFonts w:ascii="Times New Roman" w:eastAsia="Calibri" w:hAnsi="Times New Roman" w:cs="Times New Roman"/>
          <w:sz w:val="24"/>
          <w:szCs w:val="24"/>
        </w:rPr>
        <w:t>: „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Подкрепа за енергийна ефективност в опорни центрове в периферните райони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“ на ОПРР 2014-2020 г.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2. С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се определят основните задължения и отговорности на страните във връзка с организацията и изпълнението на дейностите и услугите по обновяване за енергийна ефективност на сграда</w:t>
      </w:r>
      <w:r w:rsidR="003A3C8F">
        <w:rPr>
          <w:rFonts w:ascii="Times New Roman" w:eastAsia="Calibri" w:hAnsi="Times New Roman" w:cs="Times New Roman"/>
          <w:sz w:val="24"/>
          <w:szCs w:val="24"/>
        </w:rPr>
        <w:t>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а именно: </w:t>
      </w:r>
      <w:r w:rsidR="00DC1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Провеждане </w:t>
      </w:r>
      <w:r w:rsidR="006637F9">
        <w:rPr>
          <w:rFonts w:ascii="Times New Roman" w:eastAsia="Calibri" w:hAnsi="Times New Roman" w:cs="Times New Roman"/>
          <w:sz w:val="24"/>
          <w:szCs w:val="24"/>
        </w:rPr>
        <w:t>на всички необходими 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</w:t>
      </w:r>
      <w:r w:rsidR="006637F9">
        <w:rPr>
          <w:rFonts w:ascii="Times New Roman" w:eastAsia="Calibri" w:hAnsi="Times New Roman" w:cs="Times New Roman"/>
          <w:sz w:val="24"/>
          <w:szCs w:val="24"/>
        </w:rPr>
        <w:t>мото национално законодателство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изпълнители на дейностите по обновяване на сградата (съгласно чл. 3) и сключване на договори с избраните изпълнители;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2. Осъществяване на текущ контрол по изпълнение задълженията на изпълнителите по проекта;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3. Р</w:t>
      </w:r>
      <w:r w:rsidRPr="000B2E5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азплащане на всички дейности по обновяването.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Обхват на дейностите по обновяване на сградата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3. Дейностите по обновяване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многофамилн</w:t>
      </w:r>
      <w:r w:rsidR="00B128E4">
        <w:rPr>
          <w:rFonts w:ascii="Times New Roman" w:eastAsia="Calibri" w:hAnsi="Times New Roman" w:cs="Times New Roman"/>
          <w:sz w:val="24"/>
          <w:szCs w:val="24"/>
        </w:rPr>
        <w:t>ата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жилищн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сград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 включват: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(1) Изработване на обследване за установяване на техническите характеристики на сградата, свързани с изискванията по член 169, ал. 1 (т. 1-5) и ал. 2 от ЗУТ и технически паспорт на сградата;</w:t>
      </w:r>
    </w:p>
    <w:p w:rsidR="000B2E56" w:rsidRPr="000B2E56" w:rsidRDefault="000B2E56" w:rsidP="000B2E5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(2) Изготвяне на обследване за енергийна ефективност на сградата;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(3) Разработване на инвестиционен технически/работен проект за нуждите на обновяването и оценка за съответствието;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(4) Изпълнение на </w:t>
      </w:r>
      <w:r w:rsidR="002077C1">
        <w:rPr>
          <w:rFonts w:ascii="Times New Roman" w:eastAsia="Calibri" w:hAnsi="Times New Roman" w:cs="Times New Roman"/>
          <w:sz w:val="24"/>
          <w:szCs w:val="24"/>
        </w:rPr>
        <w:t>строителни и монтажни работи (</w:t>
      </w:r>
      <w:r w:rsidRPr="000B2E56">
        <w:rPr>
          <w:rFonts w:ascii="Times New Roman" w:eastAsia="Calibri" w:hAnsi="Times New Roman" w:cs="Times New Roman"/>
          <w:sz w:val="24"/>
          <w:szCs w:val="24"/>
        </w:rPr>
        <w:t>СМР</w:t>
      </w:r>
      <w:r w:rsidR="002077C1">
        <w:rPr>
          <w:rFonts w:ascii="Times New Roman" w:eastAsia="Calibri" w:hAnsi="Times New Roman" w:cs="Times New Roman"/>
          <w:sz w:val="24"/>
          <w:szCs w:val="24"/>
        </w:rPr>
        <w:t>)</w:t>
      </w:r>
      <w:r w:rsidRPr="000B2E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(5) Строителен надзор, авторски надзор и инвеститорски контрол. 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Финансиране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4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(1) Общината ще осигури 100% финансиране на разходите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набавяне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органи; разходи, свързани с въвеждането на обекта в експлоатация и невъзстановим ДДС.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(2) Собствениците на самостоятелни обекти в сградата, които се използват за извършване на стопанска дейност, както и в случаите на отдаване под наем или извършване на дейност от търговци и/или лица със свободни професии, стават получатели на минимална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съгласно Условията </w:t>
      </w:r>
      <w:r w:rsidR="00B128E4" w:rsidRPr="00B128E4">
        <w:rPr>
          <w:rFonts w:ascii="Times New Roman" w:eastAsia="Calibri" w:hAnsi="Times New Roman" w:cs="Times New Roman"/>
          <w:sz w:val="24"/>
          <w:szCs w:val="24"/>
        </w:rPr>
        <w:t xml:space="preserve">за предоставяне на минимални помощи при изпълнение на проекти за енергийна ефективност на многофамилни жилищни сгради </w:t>
      </w:r>
      <w:r w:rsidR="00B128E4">
        <w:rPr>
          <w:rFonts w:ascii="Times New Roman" w:eastAsia="Calibri" w:hAnsi="Times New Roman" w:cs="Times New Roman"/>
          <w:sz w:val="24"/>
          <w:szCs w:val="24"/>
        </w:rPr>
        <w:t>по</w:t>
      </w:r>
      <w:r w:rsidR="0048289B">
        <w:rPr>
          <w:rFonts w:ascii="Times New Roman" w:eastAsia="Calibri" w:hAnsi="Times New Roman" w:cs="Times New Roman"/>
          <w:sz w:val="24"/>
          <w:szCs w:val="24"/>
        </w:rPr>
        <w:t xml:space="preserve"> Приоритетна ос 2 на</w:t>
      </w:r>
      <w:r w:rsidR="00B128E4">
        <w:rPr>
          <w:rFonts w:ascii="Times New Roman" w:eastAsia="Calibri" w:hAnsi="Times New Roman" w:cs="Times New Roman"/>
          <w:sz w:val="24"/>
          <w:szCs w:val="24"/>
        </w:rPr>
        <w:t xml:space="preserve"> ОПРР 2014-2020 г.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D6C44">
        <w:rPr>
          <w:rFonts w:ascii="Times New Roman" w:eastAsia="Calibri" w:hAnsi="Times New Roman" w:cs="Times New Roman"/>
          <w:sz w:val="24"/>
          <w:szCs w:val="24"/>
        </w:rPr>
        <w:t xml:space="preserve">приложение към </w:t>
      </w:r>
      <w:r w:rsidR="00763BC0">
        <w:rPr>
          <w:rFonts w:ascii="Times New Roman" w:eastAsia="Calibri" w:hAnsi="Times New Roman" w:cs="Times New Roman"/>
          <w:sz w:val="24"/>
          <w:szCs w:val="24"/>
        </w:rPr>
        <w:t>Насоките за кандидатстване</w:t>
      </w:r>
      <w:r w:rsidR="00B128E4" w:rsidRPr="00ED6C4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63BC0" w:rsidRPr="00ED6C44">
        <w:rPr>
          <w:rFonts w:ascii="Times New Roman" w:eastAsia="Calibri" w:hAnsi="Times New Roman" w:cs="Times New Roman"/>
          <w:sz w:val="24"/>
          <w:szCs w:val="24"/>
        </w:rPr>
        <w:t xml:space="preserve">процедура  </w:t>
      </w:r>
      <w:r w:rsidR="00ED6C44" w:rsidRPr="00ED6C44">
        <w:rPr>
          <w:rFonts w:ascii="Times New Roman" w:eastAsia="Calibri" w:hAnsi="Times New Roman" w:cs="Times New Roman"/>
          <w:sz w:val="24"/>
          <w:szCs w:val="24"/>
        </w:rPr>
        <w:t>BG16RFOP001-2.</w:t>
      </w:r>
      <w:r w:rsidR="00317400" w:rsidRPr="00ED6C44">
        <w:rPr>
          <w:rFonts w:ascii="Times New Roman" w:eastAsia="Calibri" w:hAnsi="Times New Roman" w:cs="Times New Roman"/>
          <w:sz w:val="24"/>
          <w:szCs w:val="24"/>
        </w:rPr>
        <w:t>00</w:t>
      </w:r>
      <w:r w:rsidR="00317400">
        <w:rPr>
          <w:rFonts w:ascii="Times New Roman" w:eastAsia="Calibri" w:hAnsi="Times New Roman" w:cs="Times New Roman"/>
          <w:sz w:val="24"/>
          <w:szCs w:val="24"/>
        </w:rPr>
        <w:t>3</w:t>
      </w:r>
      <w:r w:rsidR="00317400" w:rsidRPr="00ED6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C44" w:rsidRPr="00ED6C44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райони-</w:t>
      </w:r>
      <w:r w:rsidR="00317400">
        <w:rPr>
          <w:rFonts w:ascii="Times New Roman" w:eastAsia="Calibri" w:hAnsi="Times New Roman" w:cs="Times New Roman"/>
          <w:sz w:val="24"/>
          <w:szCs w:val="24"/>
        </w:rPr>
        <w:t>3</w:t>
      </w:r>
      <w:r w:rsidR="00DB49C3" w:rsidRPr="00ED6C44">
        <w:rPr>
          <w:rFonts w:ascii="Times New Roman" w:eastAsia="Calibri" w:hAnsi="Times New Roman" w:cs="Times New Roman"/>
          <w:sz w:val="24"/>
          <w:szCs w:val="24"/>
        </w:rPr>
        <w:t>” на Оперативна про</w:t>
      </w:r>
      <w:r w:rsidR="00FA15ED" w:rsidRPr="00ED6C44">
        <w:rPr>
          <w:rFonts w:ascii="Times New Roman" w:eastAsia="Calibri" w:hAnsi="Times New Roman" w:cs="Times New Roman"/>
          <w:sz w:val="24"/>
          <w:szCs w:val="24"/>
        </w:rPr>
        <w:t>грама „Региони в растеж“ 2014–</w:t>
      </w:r>
      <w:r w:rsidR="00DB49C3" w:rsidRPr="00ED6C44">
        <w:rPr>
          <w:rFonts w:ascii="Times New Roman" w:eastAsia="Calibri" w:hAnsi="Times New Roman" w:cs="Times New Roman"/>
          <w:sz w:val="24"/>
          <w:szCs w:val="24"/>
        </w:rPr>
        <w:t>2020</w:t>
      </w:r>
      <w:r w:rsidRPr="00ED6C44">
        <w:rPr>
          <w:rFonts w:ascii="Times New Roman" w:eastAsia="Calibri" w:hAnsi="Times New Roman" w:cs="Times New Roman"/>
          <w:sz w:val="24"/>
          <w:szCs w:val="24"/>
        </w:rPr>
        <w:t xml:space="preserve">), или поемат ангажимент за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осигуряване на средствата,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съгласно Приложение № </w:t>
      </w:r>
      <w:r w:rsidR="00096C6B">
        <w:rPr>
          <w:rFonts w:ascii="Times New Roman" w:eastAsia="Calibri" w:hAnsi="Times New Roman" w:cs="Times New Roman"/>
          <w:sz w:val="24"/>
          <w:szCs w:val="24"/>
        </w:rPr>
        <w:t>2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r w:rsidR="00096C6B">
        <w:rPr>
          <w:rFonts w:ascii="Times New Roman" w:eastAsia="Calibri" w:hAnsi="Times New Roman" w:cs="Times New Roman"/>
          <w:sz w:val="24"/>
          <w:szCs w:val="24"/>
        </w:rPr>
        <w:t>настоящия договор</w:t>
      </w:r>
      <w:r w:rsidR="00FA15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Права и задължения на страните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Общината се задължава: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организира предоставяне на СС на дейности и услуги, безвъзмездни за СС, в рамките на получената безвъзмездна финансова помощ за изпълнение на 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A15ED" w:rsidRPr="00B07584">
        <w:rPr>
          <w:rFonts w:ascii="Times New Roman" w:hAnsi="Times New Roman"/>
          <w:sz w:val="24"/>
          <w:szCs w:val="24"/>
        </w:rPr>
        <w:t>за енергийна еф</w:t>
      </w:r>
      <w:r w:rsidR="00FA15ED">
        <w:rPr>
          <w:rFonts w:ascii="Times New Roman" w:hAnsi="Times New Roman"/>
          <w:sz w:val="24"/>
          <w:szCs w:val="24"/>
        </w:rPr>
        <w:t>е</w:t>
      </w:r>
      <w:r w:rsidR="00FA15ED" w:rsidRPr="00B07584">
        <w:rPr>
          <w:rFonts w:ascii="Times New Roman" w:hAnsi="Times New Roman"/>
          <w:sz w:val="24"/>
          <w:szCs w:val="24"/>
        </w:rPr>
        <w:t>ктивност на многофамилни жилищни сгради</w:t>
      </w:r>
      <w:r w:rsidR="00FA15ED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70CE8">
        <w:rPr>
          <w:rFonts w:ascii="Times New Roman" w:eastAsia="Calibri" w:hAnsi="Times New Roman" w:cs="Times New Roman"/>
          <w:sz w:val="24"/>
          <w:szCs w:val="24"/>
        </w:rPr>
        <w:t>п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роцедура  BG16RFOP001-2.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>00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райони-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 xml:space="preserve">”, Приоритетна ос 2: „Подкрепа за енергийна ефективност в опорни 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lastRenderedPageBreak/>
        <w:t>центрове в периферните райони</w:t>
      </w:r>
      <w:r w:rsidRPr="000B2E56">
        <w:rPr>
          <w:rFonts w:ascii="Times New Roman" w:eastAsia="Calibri" w:hAnsi="Times New Roman" w:cs="Times New Roman"/>
          <w:sz w:val="24"/>
          <w:szCs w:val="24"/>
        </w:rPr>
        <w:t>“ на ОПРР 2014-2020 г., като изразходва средствата съгласно правилата и процедурите на ОПРР 2014-2020 г., принципите на добро финансово управление, спазване правилата, приложими спрямо минималните помощи и в интерес на сдружението на собствениците за целите на обновяването на сградата.</w:t>
      </w:r>
    </w:p>
    <w:p w:rsid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подготви документацията за избор на изпълнители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да проведе </w:t>
      </w:r>
      <w:r w:rsidR="00FA15ED">
        <w:rPr>
          <w:rFonts w:ascii="Times New Roman" w:eastAsia="Calibri" w:hAnsi="Times New Roman" w:cs="Times New Roman"/>
          <w:sz w:val="24"/>
          <w:szCs w:val="24"/>
        </w:rPr>
        <w:t>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</w:t>
      </w:r>
      <w:r w:rsidR="00FA15ED">
        <w:rPr>
          <w:rFonts w:ascii="Times New Roman" w:eastAsia="Calibri" w:hAnsi="Times New Roman" w:cs="Times New Roman"/>
          <w:sz w:val="24"/>
          <w:szCs w:val="24"/>
        </w:rPr>
        <w:t>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приложимото национално законодателство и да сключи договор с избраните изпълнители.</w:t>
      </w:r>
    </w:p>
    <w:p w:rsidR="000B2E56" w:rsidRPr="00DB49C3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извършва всички плащания, свързани с изпълнението на дейности по сградата, вкл. по сключените договори с външни изпълнители. Плащанията за дейностите по проектиране и СМР се извършват при наличие на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подписани протоколи по чл. </w:t>
      </w:r>
      <w:r w:rsidR="00FA15ED">
        <w:rPr>
          <w:rFonts w:ascii="Times New Roman" w:eastAsia="Calibri" w:hAnsi="Times New Roman" w:cs="Times New Roman"/>
          <w:sz w:val="24"/>
          <w:szCs w:val="24"/>
        </w:rPr>
        <w:t>6</w:t>
      </w:r>
      <w:r w:rsidRPr="00DB49C3">
        <w:rPr>
          <w:rFonts w:ascii="Times New Roman" w:eastAsia="Calibri" w:hAnsi="Times New Roman" w:cs="Times New Roman"/>
          <w:sz w:val="24"/>
          <w:szCs w:val="24"/>
        </w:rPr>
        <w:t>, ал. 5.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 осигури публичност на извършваните дейности в изпълнение на договора.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ще предостави на СС всички необходими услуги (допустими по ОПРР 2014-2020 г.), свързани с изпълнението на предписаните мерки за обновяване за енергийна ефективност на сградата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необходимото качество и по начин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осигуряващ необходимата координация.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Услугите включват цялостната задължителна съвкупност от проектно-проучвателни и строително-монтажни дейности по отделните самостоятелни обекти и сградата като цяло, за постигане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енергоефективните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технически параметри и стандарти, съобразно целите на ОПРР 2014-2020 г., Проекта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нормативно зададените стойности на тези параметри и националното законодателство и регламенти.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ще осъществи контрол по изпълнението и приемането на работата на изпълнителите и при съставянето на съпътстващите финансово-счетоводни документи и строителни документи, като стриктно спазва изискванията на нормативната уредба и одобрената проектосметна документация.  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се задължава да осигури всички условия и предпоставки от страна на съответните ведомства, институции и наети фирми, необходими, за да се изпълнят дейностите по обновяването на сградата точно, пълно, качествено, в срок.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Общината, в качеството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орган на местната власт, се задължава да изпълнява всички нормативно възложени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функции, свързани с инвестиционния процес качествено, в срок и в интерес на СС.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>. С</w:t>
      </w:r>
      <w:r w:rsidR="002077C1">
        <w:rPr>
          <w:rFonts w:ascii="Times New Roman" w:eastAsia="Calibri" w:hAnsi="Times New Roman" w:cs="Times New Roman"/>
          <w:sz w:val="24"/>
          <w:szCs w:val="24"/>
        </w:rPr>
        <w:t>дружението на собствениците</w:t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DB49C3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екларира, че е запознат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и </w:t>
      </w:r>
      <w:r w:rsidR="0009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условията за изпълнение на Проекта, съгласно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 за предоставяне на безвъзмездна финансова помощ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375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70CE8">
        <w:rPr>
          <w:rFonts w:ascii="Times New Roman" w:eastAsia="Calibri" w:hAnsi="Times New Roman" w:cs="Times New Roman"/>
          <w:sz w:val="24"/>
          <w:szCs w:val="24"/>
        </w:rPr>
        <w:t>п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роцедура  BG16RFOP001-2.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>00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райони-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 xml:space="preserve">”, Приоритетна ос 2: „Подкрепа за 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lastRenderedPageBreak/>
        <w:t>енергийна ефективност в опорни центрове в периферните райони</w:t>
      </w:r>
      <w:r w:rsidR="00453755" w:rsidRPr="000B2E56">
        <w:rPr>
          <w:rFonts w:ascii="Times New Roman" w:eastAsia="Calibri" w:hAnsi="Times New Roman" w:cs="Times New Roman"/>
          <w:sz w:val="24"/>
          <w:szCs w:val="24"/>
        </w:rPr>
        <w:t>“ на ОПРР 2014-2020 г</w:t>
      </w:r>
      <w:r w:rsidR="00453755"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53755" w:rsidRPr="00453755">
        <w:rPr>
          <w:rFonts w:ascii="Times New Roman" w:eastAsia="Calibri" w:hAnsi="Times New Roman" w:cs="Times New Roman"/>
          <w:sz w:val="24"/>
          <w:szCs w:val="24"/>
        </w:rPr>
        <w:t>публикувани на интернет страницата на ОПРР</w:t>
      </w:r>
      <w:r w:rsidR="00453755" w:rsidRPr="00453755">
        <w:t xml:space="preserve"> (</w:t>
      </w:r>
      <w:hyperlink r:id="rId9" w:history="1">
        <w:r w:rsidR="00453755" w:rsidRPr="0045375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http://www.bgregio.eu/</w:t>
        </w:r>
      </w:hyperlink>
      <w:r w:rsidR="00453755" w:rsidRPr="00453755">
        <w:rPr>
          <w:rFonts w:ascii="Times New Roman" w:eastAsia="Calibri" w:hAnsi="Times New Roman" w:cs="Times New Roman"/>
          <w:sz w:val="24"/>
          <w:szCs w:val="24"/>
        </w:rPr>
        <w:t>)</w:t>
      </w:r>
      <w:r w:rsidR="00453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приложимите към него правила</w:t>
      </w:r>
      <w:r w:rsidR="00DB49C3" w:rsidRPr="004537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Условията за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изпълнение на схемата за минимална помощ по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Проекта 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към </w:t>
      </w:r>
      <w:r w:rsidR="00770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Насоките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B49C3">
        <w:rPr>
          <w:rFonts w:ascii="Times New Roman" w:eastAsia="Calibri" w:hAnsi="Times New Roman" w:cs="Times New Roman"/>
          <w:sz w:val="24"/>
          <w:szCs w:val="24"/>
        </w:rPr>
        <w:t>съгласно е и ги приема. СС заявява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своето изрично съгласие по отношение на реда за организиране и провеждане на работите в изпълнение на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под управлението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съгласно правилата и процедурите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ОПРР 2014-2020 г.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действащата нормативна уредба.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Се задължава да осигури всички условия и предпоставки от страна на етажната собственост, необходими за да се изпълнят дейностите по обновяването на сградата точно, пълно, качествено, в срок и в съответствие с одобреното ЗИФП и приложенията към него, настоящия договор и правилата на ОПРР 2014-2020 г.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всеки самостоятелен обект в сградата по съгласуван с </w:t>
      </w:r>
      <w:r w:rsidR="00B05CDD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график за извършване на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се съгласява да бъдат изпълнени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Наблюдение по изпълнение на обновяването за енергийна ефективност на сградата от името на СС ще бъде упражняван от ………………, съгласно решение на общото събрание на сдружението или от лицето/та упълномощени да представляват СС по Проекта, когато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титулярът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възпрепятстван, като същият ще представлява СС пред останалите участници при изпълнение на следните дейности: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Подписване на протокол за приемане на техническия/работния проект, протокол за предаване на строителната площадка; протокол за установяване годността за ползване на обекта; протоколите за приемане на изпълнените количества и видове строително-ремонтни работи, както и др. до пълна реализация на провежданите мерки по обновяване на сградата.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Лицето по настоящата алинея се уведомява от Общината, съгласувано със строителния надзор/изпълнителя на СМР чрез писмо или по електронна поща или по факс за необходимостта да участва в горепосочените дейности най-малко 2 (два) дни преди започване на изпълнението им. СС в срок до 10 дни след сключване на настоящия договор предоставя на Общината пощенски адрес, електронна поща или факс за връзка с посоченото лице.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СС ще осигури постоянен достъп до строителната площадка на външния изпълнител през цялото времетраене на СМР.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вода и електроенергия, както и място за временен склад през цялото времетраене на СМР и ще оказва пълно съдействие на изпълнителя.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ще окаже пълно съдействие на всички участници в изпълнението на обновяването по сградата,</w:t>
      </w:r>
      <w:r w:rsidR="00B05CDD">
        <w:rPr>
          <w:rFonts w:ascii="Times New Roman" w:eastAsia="Calibri" w:hAnsi="Times New Roman" w:cs="Times New Roman"/>
          <w:sz w:val="24"/>
          <w:szCs w:val="24"/>
        </w:rPr>
        <w:t xml:space="preserve"> ще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взаимодейства с длъжностните лица от Общината и външните изпълнители, при осъществяване на задълженията им.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има право по своя преценка и за своя сметка, съгласно чл. 68, ал. 3 от ЗОП, да изпрати свой представител, който да присъства на публичните заседания на комисията за разглеждане, оценка и класиране на офертите за избор на изпълнители за изработване на работен проект и извършване на СМР на обекта. Общината уведомява </w:t>
      </w:r>
      <w:r w:rsidR="00B05CDD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писмено или по електронна поща или по факс за часовете и датите на заседанията на комисиите не по-късно от 2 (два) дни преди тяхното започване.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промяна на предназначението на самостоятелен обект от жилищно в нежилищно, както и при всяко фактическо упражняване на стопанска дейност, отдаване под наем на имота, или извършване на дейност от търговци и/или лица със свободни професии, които обстоятелства са възникнали след сключване на настоящия договор, СС се задължава да уведоми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14-дневен срок от узнаването. Собствениците на самостоятелните обекти, за които са възникнали посочените хипотези, стават получатели на минимална помощ и се задължават да подпишат Приложение </w:t>
      </w:r>
      <w:r w:rsidRPr="00801A80">
        <w:rPr>
          <w:rFonts w:ascii="Times New Roman" w:eastAsia="Calibri" w:hAnsi="Times New Roman" w:cs="Times New Roman"/>
          <w:sz w:val="24"/>
          <w:szCs w:val="24"/>
        </w:rPr>
        <w:t>№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настоящия договор или да заплатят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съответната част от разходите за обновяването на припадащите им се общи части и разходите за дейности, които в случай на нужда ще са необходими да се извършат в съответния самостоятелен обект.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A80">
        <w:rPr>
          <w:rFonts w:ascii="Times New Roman" w:eastAsia="Calibri" w:hAnsi="Times New Roman" w:cs="Times New Roman"/>
          <w:sz w:val="24"/>
          <w:szCs w:val="24"/>
        </w:rPr>
        <w:t>В края на първата, третата и петата година в 5 – годишния срок по ал. 12,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СС попълва и връща изпратена от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декларация по образец, че са </w:t>
      </w:r>
      <w:r w:rsidRPr="00801A80">
        <w:rPr>
          <w:rFonts w:ascii="Times New Roman" w:eastAsia="Calibri" w:hAnsi="Times New Roman" w:cs="Times New Roman"/>
          <w:sz w:val="24"/>
          <w:szCs w:val="24"/>
        </w:rPr>
        <w:t>налице обстоятелствата по ал. 10 – не е променено предназначението на жилищните обекти в стопански обекти и вида на подобренията, придобити в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резултат на изпълнените дейности по енергийното обновяване на обекта. </w:t>
      </w:r>
    </w:p>
    <w:p w:rsidR="000B2E56" w:rsidRPr="00801A80" w:rsidRDefault="00801A80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има право в период от 5 години след въвеждане на сградата в експлоатация и приключване на плащанията по дейностите, да проверява </w:t>
      </w:r>
      <w:r w:rsidR="000B2E56" w:rsidRPr="00801A80">
        <w:rPr>
          <w:rFonts w:ascii="Times New Roman" w:eastAsia="Calibri" w:hAnsi="Times New Roman" w:cs="Times New Roman"/>
          <w:sz w:val="24"/>
          <w:szCs w:val="24"/>
        </w:rPr>
        <w:t>изпълнението на задълженията на СС по ал. 10.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гаранционните срокове по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които се записват в окончателния приемно-предавателен протокол за предаването на обновената сграда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длъжен да уведомява </w:t>
      </w:r>
      <w:r w:rsidR="008A2012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за открити недостатъци и/или скрити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дефекти по изпълнените по сградата СМР в срок до 10 дни от тяхното откриване.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Влизане в сила на договора</w:t>
      </w:r>
    </w:p>
    <w:p w:rsidR="000B2E56" w:rsidRPr="000B2E56" w:rsidRDefault="00801A80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7.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Настоящият договор влиза в сила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датата на подписване 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Срок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8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сключва за срок до изтичане на гаранционните срокове за изпълнените дейности.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Прекратяване на договора и специфични условия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9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прекратява:</w:t>
      </w:r>
    </w:p>
    <w:p w:rsidR="000B2E56" w:rsidRPr="000B2E56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) Във всички случаи на прекратяване на договора</w:t>
      </w:r>
      <w:r w:rsidR="000B2E56" w:rsidRPr="000B2E56" w:rsidDel="0021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за предоставяне на БФП по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62286E">
        <w:rPr>
          <w:rFonts w:ascii="Times New Roman" w:eastAsia="Calibri" w:hAnsi="Times New Roman" w:cs="Times New Roman"/>
          <w:sz w:val="24"/>
          <w:szCs w:val="24"/>
        </w:rPr>
        <w:t>а за енергийна ефективност на многофамилни жилищни сгради на община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…..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по ОПРР 2014-2020 г.</w:t>
      </w:r>
    </w:p>
    <w:p w:rsidR="007603E0" w:rsidRPr="000B2E56" w:rsidRDefault="000B2E56" w:rsidP="007603E0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</w:t>
      </w:r>
      <w:r w:rsidR="007603E0">
        <w:rPr>
          <w:rFonts w:ascii="Times New Roman" w:eastAsia="Calibri" w:hAnsi="Times New Roman" w:cs="Times New Roman"/>
          <w:sz w:val="24"/>
          <w:szCs w:val="24"/>
        </w:rPr>
        <w:t>2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Едностранно от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 едномесечно предизвестие, в случаите на виновно неизпълнение на задълженията на СС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СС дължи възстановяване на разходите (платени или дължими) по действително извършените дейности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както и дължимите неустойки по вече сключени договори от </w:t>
      </w:r>
      <w:r w:rsidR="00DB49C3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изпълнение на задължението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ал. 5.</w:t>
      </w:r>
      <w:r w:rsidR="007603E0" w:rsidRPr="0076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A80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C17E4" w:rsidRPr="007603E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603E0">
        <w:rPr>
          <w:rFonts w:ascii="Times New Roman" w:eastAsia="Calibri" w:hAnsi="Times New Roman" w:cs="Times New Roman"/>
          <w:sz w:val="24"/>
          <w:szCs w:val="24"/>
        </w:rPr>
        <w:t xml:space="preserve">искане на СС до момента на възлагане на СМР. </w:t>
      </w:r>
      <w:r w:rsidR="00801A80" w:rsidRPr="000B2E56">
        <w:rPr>
          <w:rFonts w:ascii="Times New Roman" w:eastAsia="Calibri" w:hAnsi="Times New Roman" w:cs="Times New Roman"/>
          <w:sz w:val="24"/>
          <w:szCs w:val="24"/>
        </w:rPr>
        <w:t>В този случай СС дължи възстановяване на разходите за всички извършени до момента дейности по сградата.</w:t>
      </w:r>
    </w:p>
    <w:p w:rsidR="000B2E56" w:rsidRPr="003E13E8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286E">
        <w:rPr>
          <w:rFonts w:ascii="Times New Roman" w:eastAsia="Calibri" w:hAnsi="Times New Roman" w:cs="Times New Roman"/>
          <w:sz w:val="24"/>
          <w:szCs w:val="24"/>
        </w:rPr>
        <w:t>В случай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че в резултат на обследването за енергийна ефективност сградата </w:t>
      </w:r>
      <w:r w:rsidR="006A3A5B">
        <w:rPr>
          <w:rFonts w:ascii="Times New Roman" w:eastAsia="Calibri" w:hAnsi="Times New Roman" w:cs="Times New Roman"/>
          <w:sz w:val="24"/>
          <w:szCs w:val="24"/>
        </w:rPr>
        <w:t>не постига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най-малко клас </w:t>
      </w:r>
      <w:r w:rsidR="006A3A5B">
        <w:rPr>
          <w:rFonts w:ascii="Times New Roman" w:eastAsia="Calibri" w:hAnsi="Times New Roman" w:cs="Times New Roman"/>
          <w:sz w:val="24"/>
          <w:szCs w:val="24"/>
        </w:rPr>
        <w:t>на енергопотребление „</w:t>
      </w:r>
      <w:r w:rsidR="0062286E">
        <w:rPr>
          <w:rFonts w:ascii="Times New Roman" w:eastAsia="Calibri" w:hAnsi="Times New Roman" w:cs="Times New Roman"/>
          <w:sz w:val="24"/>
          <w:szCs w:val="24"/>
        </w:rPr>
        <w:t>С</w:t>
      </w:r>
      <w:r w:rsidR="006A3A5B">
        <w:rPr>
          <w:rFonts w:ascii="Times New Roman" w:eastAsia="Calibri" w:hAnsi="Times New Roman" w:cs="Times New Roman"/>
          <w:sz w:val="24"/>
          <w:szCs w:val="24"/>
        </w:rPr>
        <w:t>“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и не подлежи на обновяване за енергийна ефективност по </w:t>
      </w:r>
      <w:r w:rsidR="00801A80" w:rsidRPr="00DC17E4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>, настоящ</w:t>
      </w:r>
      <w:r w:rsidR="00DC17E4">
        <w:rPr>
          <w:rFonts w:ascii="Times New Roman" w:eastAsia="Calibri" w:hAnsi="Times New Roman" w:cs="Times New Roman"/>
          <w:sz w:val="24"/>
          <w:szCs w:val="24"/>
        </w:rPr>
        <w:t>ият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7E4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се счита 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за прекратен. </w:t>
      </w:r>
      <w:r w:rsidR="00335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81C">
        <w:rPr>
          <w:rFonts w:ascii="Times New Roman" w:eastAsia="Calibri" w:hAnsi="Times New Roman" w:cs="Times New Roman"/>
          <w:sz w:val="24"/>
          <w:szCs w:val="24"/>
        </w:rPr>
        <w:t>В този случай</w:t>
      </w:r>
      <w:r w:rsidR="0034181C" w:rsidRPr="00341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81C" w:rsidRPr="000B2E56">
        <w:rPr>
          <w:rFonts w:ascii="Times New Roman" w:eastAsia="Calibri" w:hAnsi="Times New Roman" w:cs="Times New Roman"/>
          <w:sz w:val="24"/>
          <w:szCs w:val="24"/>
        </w:rPr>
        <w:t>разходите за всички извършени до момента дейности по сградата</w:t>
      </w:r>
      <w:r w:rsidR="0034181C">
        <w:rPr>
          <w:rFonts w:ascii="Times New Roman" w:eastAsia="Calibri" w:hAnsi="Times New Roman" w:cs="Times New Roman"/>
          <w:sz w:val="24"/>
          <w:szCs w:val="24"/>
        </w:rPr>
        <w:t xml:space="preserve"> остават за сметка на общината.</w:t>
      </w:r>
    </w:p>
    <w:p w:rsidR="00DC17E4" w:rsidRPr="000B2E56" w:rsidRDefault="00801A80" w:rsidP="00DC17E4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 11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неизпълнение на чл.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, ал. 3, което е довело до възпрепятстване на дейностите по обновяване на сградата, </w:t>
      </w:r>
      <w:r w:rsidR="000E7747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може едностранно да прекрати настоящия договор с 14-дневно писмено предизвестие. </w:t>
      </w:r>
    </w:p>
    <w:p w:rsidR="00DC17E4" w:rsidRDefault="00DC17E4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Адреси за кореспонденция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Член 10. Кореспонденцията, свързана с настоящия договор, е в писмена форма, съдържа регистрационния номер и наименованието на сградата и следва да бъде изпращана на следните адреси: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 Сдружение на собствениците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За община ……………………………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Приложение № 1: </w:t>
      </w:r>
      <w:r w:rsidR="006A3A5B" w:rsidRPr="000B2E56">
        <w:rPr>
          <w:rFonts w:ascii="Times New Roman" w:eastAsia="Calibri" w:hAnsi="Times New Roman" w:cs="Times New Roman"/>
          <w:sz w:val="24"/>
          <w:szCs w:val="24"/>
        </w:rPr>
        <w:t>Деклараци</w:t>
      </w:r>
      <w:r w:rsidR="006A3A5B">
        <w:rPr>
          <w:rFonts w:ascii="Times New Roman" w:eastAsia="Calibri" w:hAnsi="Times New Roman" w:cs="Times New Roman"/>
          <w:sz w:val="24"/>
          <w:szCs w:val="24"/>
        </w:rPr>
        <w:t>я/и</w:t>
      </w:r>
      <w:r w:rsidR="006A3A5B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получателите на минимална помощ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Приложение № 2 Декларация</w:t>
      </w:r>
      <w:r w:rsidR="006A3A5B">
        <w:rPr>
          <w:rFonts w:ascii="Times New Roman" w:eastAsia="Calibri" w:hAnsi="Times New Roman" w:cs="Times New Roman"/>
          <w:sz w:val="24"/>
          <w:szCs w:val="24"/>
        </w:rPr>
        <w:t>/и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Настоящият договор се сключи в четири оригинални екземпляра - три за </w:t>
      </w:r>
      <w:r w:rsidR="006A3A5B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 един за </w:t>
      </w:r>
      <w:r w:rsidR="006A3A5B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>.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B2E56" w:rsidRPr="000B2E56" w:rsidTr="00DB49C3">
        <w:tc>
          <w:tcPr>
            <w:tcW w:w="4605" w:type="dxa"/>
          </w:tcPr>
          <w:p w:rsidR="000B2E56" w:rsidRPr="000B2E56" w:rsidRDefault="000B2E56" w:rsidP="006A3A5B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6A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…………………….:</w:t>
            </w:r>
          </w:p>
        </w:tc>
        <w:tc>
          <w:tcPr>
            <w:tcW w:w="4605" w:type="dxa"/>
          </w:tcPr>
          <w:p w:rsidR="000B2E56" w:rsidRPr="000B2E56" w:rsidRDefault="006A3A5B" w:rsidP="006A3A5B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ДРУЖЕНИЕ НА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41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341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ТВЕНИЦИТЕ</w:t>
            </w:r>
            <w:r w:rsidR="000B2E56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кмет на община ………………..)</w:t>
            </w:r>
          </w:p>
          <w:p w:rsidR="000B2E56" w:rsidRPr="000B2E56" w:rsidRDefault="000B2E56" w:rsidP="000B2E5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представляващ СС)</w:t>
            </w:r>
          </w:p>
        </w:tc>
      </w:tr>
    </w:tbl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Приложение № 1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0E77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за минимални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0B2E56" w:rsidRPr="000B2E56" w:rsidTr="00DB49C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Подписаният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/трите имена на декларатора/</w:t>
            </w:r>
          </w:p>
        </w:tc>
      </w:tr>
      <w:tr w:rsidR="000B2E56" w:rsidRPr="000B2E56" w:rsidTr="00DB49C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качеството си на 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/управител/председател/представител/друго/</w:t>
            </w:r>
          </w:p>
        </w:tc>
      </w:tr>
      <w:tr w:rsidR="000B2E56" w:rsidRPr="000B2E56" w:rsidTr="00DB49C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30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</w:t>
            </w:r>
            <w:r w:rsidR="00911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/ЕГН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 ли получателят/кандидатът икономическа дейност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4а.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4 сте посочили „ДА“,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получателят е „предприятие“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смисъла на законодателството по държавните помощи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попълнете следната информация за него:</w:t>
            </w:r>
          </w:p>
        </w:tc>
      </w:tr>
      <w:tr w:rsidR="000B2E56" w:rsidRPr="000B2E56" w:rsidTr="00DB49C3">
        <w:trPr>
          <w:trHeight w:val="609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Дейности, които предприятието извършва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Относителен дял на нетните приходи от продажби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в % през: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51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година „Х-1“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година „Х“</w:t>
            </w: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Отраслова принадлежност на предприятието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според основната му дейност по код КИД-2008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предприятието: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</w:tr>
      <w:tr w:rsidR="000B2E56" w:rsidRPr="000B2E56" w:rsidTr="00DB49C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Моля, посочете собствеността на предприятието към година „Х“:</w:t>
            </w:r>
          </w:p>
        </w:tc>
      </w:tr>
      <w:tr w:rsidR="000B2E56" w:rsidRPr="000B2E56" w:rsidTr="00DB49C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Относителен дял от капитала в %:</w:t>
            </w: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0B2E56" w:rsidRPr="000B2E56" w:rsidTr="00DB49C3">
        <w:trPr>
          <w:gridAfter w:val="1"/>
          <w:wAfter w:w="18" w:type="dxa"/>
          <w:trHeight w:val="43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Налице ли е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партньорство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лице от Република България?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ДЕКЛАРИРАМ, ЧЕ: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Имам наличие на обстоятелства по преобразуване: сливане/придобиване/разделяне?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Попълва се само, когато преобразуването е извършено след 01.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.2014 г.)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Поддържам поне един вид от взаимоотношенията по чл. 2, 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 2, букви „а“ - „г“ от Регламент (ЕС) № 1407/2013: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следните минимални помощи (получени на територията на Република България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0B2E56" w:rsidRPr="000B2E56" w:rsidTr="00DB49C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Получател/и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(посочва  се ЕИК/БУЛСТ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Адми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нистратор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Разходи, за които е получена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помощта/цел на 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Общ размерна помощта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=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a+b+c+d+e</w:t>
            </w:r>
            <w:proofErr w:type="spellEnd"/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 т.ч. за дейност/и, попадаща/и до съответните прагове:</w:t>
            </w:r>
          </w:p>
        </w:tc>
      </w:tr>
      <w:tr w:rsidR="000B2E56" w:rsidRPr="000B2E56" w:rsidTr="00DB49C3">
        <w:trPr>
          <w:trHeight w:val="273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2E56" w:rsidRPr="000B2E56" w:rsidTr="00DB49C3">
        <w:trPr>
          <w:trHeight w:val="143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1408/2013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0B2E56" w:rsidRPr="000B2E56" w:rsidTr="00DB49C3">
        <w:trPr>
          <w:trHeight w:val="967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500 000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15 000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30 000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(58 674,90лв.)</w:t>
            </w:r>
          </w:p>
        </w:tc>
      </w:tr>
      <w:tr w:rsidR="000B2E56" w:rsidRPr="000B2E56" w:rsidTr="00DB49C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„Х-1“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„Х-2“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∑(</w:t>
            </w:r>
            <w:proofErr w:type="spellStart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a+b+c+d+e</w:t>
            </w:r>
            <w:proofErr w:type="spellEnd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∑e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Дейността, която се финансира,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попада в приложното поле на Регламент (ЕС)                  № 1407/2013: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22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Получателят/кандидатът извършва 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дейност(и), която/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е/са изключена/и от приложното поле на Регламент (ЕС) № 1407/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9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13б.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13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надвишава левовата равностойност на 200 000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7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Минималната помощ се получава за дейност по извършване на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шосейни товарни превози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чужда сметка или срещу възнаграждение съгласно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8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14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100 000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41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по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 от общ икономически интерес съгласно Регламент (ЕС) № 360/2012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3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положителен отговор в т. 15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трябва да надхвърля левовата равностойност на 500 000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48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в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16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15 000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сектора на рибарството и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аквакултурите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съгласно Регламент (ЕС) №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17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30 000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предприятието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 поддържа аналитична счетоводна отчетност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гарантираща разделяне на дейностите и/или разграничаване на разходите,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доказваща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 помощта е за дейността по т. 6: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93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същите приемливи (допустими) разходи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съм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държавна/и помощ/и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0B2E56" w:rsidRPr="000B2E56" w:rsidTr="00DB49C3">
        <w:trPr>
          <w:trHeight w:val="5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Администратор на помощта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за получаване на помощта</w:t>
            </w:r>
          </w:p>
        </w:tc>
      </w:tr>
      <w:tr w:rsidR="000B2E56" w:rsidRPr="000B2E56" w:rsidTr="00DB49C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0B2E56" w:rsidRPr="000B2E56" w:rsidTr="00DB49C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ДATA: ………………20__ г.               ДЕКЛАРАТОР: ……………………………………</w:t>
      </w:r>
    </w:p>
    <w:p w:rsidR="000B2E56" w:rsidRPr="000B2E56" w:rsidRDefault="000B2E56" w:rsidP="000B2E56">
      <w:pPr>
        <w:spacing w:after="120" w:line="240" w:lineRule="auto"/>
        <w:ind w:left="7080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i/>
          <w:sz w:val="24"/>
          <w:szCs w:val="24"/>
        </w:rPr>
        <w:t>/подпис и печат/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У К А З А Н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за попълване на Декларацията за минимални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Информацията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4а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през година „Х“ (текущата година), полето по т. 4а от Декларацията за година „Х“ остава празно.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5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Определянето на вида на предприятието в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т. 7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0B2E56">
      <w:p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018"/>
        <w:gridCol w:w="2406"/>
        <w:gridCol w:w="2498"/>
      </w:tblGrid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годишен счетоводен баланс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84 100 690 лв. (43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84 100 690 лв. (43 млн. евро)</w:t>
            </w:r>
          </w:p>
        </w:tc>
      </w:tr>
    </w:tbl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8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Същата следва да съдържа най-малко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2 от Регламент (ЕС) № 1407/2013 взаимоотношения, трябва да декларира това обстоятелство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които образуват „едно и също предприятие“.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4 от Регламент(ЕС) № 1407/2013,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получателя/кандидата.   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имате предвид следното: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всички предходни помощи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, предоставена законно преди сливането или придобиването, остава правомерна;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следва да се има предвид, че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Ако такова предоставяне не е възможно, помощта e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посочен отговор „ДА“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помощта/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0B2E56" w:rsidRPr="000B2E56" w:rsidRDefault="000B2E56" w:rsidP="000B2E56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попълване на Декларацията, моля да имате предвид следните определения и разпоредби: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„Минимална помощ“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„Държавна помощ"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„Администратор на помощ“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„Предприятия партньори“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25% или повече от капитала или правата на глас в друго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надолу по веригата). </w:t>
      </w:r>
    </w:p>
    <w:p w:rsidR="000B2E56" w:rsidRPr="000B2E56" w:rsidRDefault="000B2E56" w:rsidP="000B2E56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нито индивидуално, нито съвместно с въпросното предприятие: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публични инвестиционни дружества,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дружества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университети или изследователски центрове с нестопанска цел;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институционални инвеститори, включително фондове за регионално развитие;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автономни местни органи с годишен бюджет под 10 млн. евро  и население под 5 000 жители.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чл. 1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същият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не се прилага към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2E56" w:rsidRPr="000B2E56" w:rsidRDefault="000B2E56" w:rsidP="000B2E56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д) помощи, подчинени на преференциално използване на национални продукти спрямо вносни такива.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чл. 2,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2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„едно и също предприятие“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са всички предприятия, които поддържат помежду си поне един вид от следните взаимоотношения: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предприятие,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1 от Регламент (ЕС) № 1407/2013, минималната помощ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същия,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минимална помощ за дейности по услуги от общ икономически интерес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с минимална помощ, предоставяна съгласно други регламенти за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до съответния таван, определен в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2 от Регламент (ЕС) № 1407/2013.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. 2 от Регламент (ЕС) № 1407/2013, помощта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държавна помощ, отпусната за същите допустими разходи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 държавна помощ независимо от интензитетите.</w:t>
      </w: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12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EC33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Във връзка с участието на</w:t>
      </w:r>
      <w:r w:rsidR="008F22F7">
        <w:rPr>
          <w:rFonts w:ascii="Times New Roman" w:eastAsia="Calibri" w:hAnsi="Times New Roman" w:cs="Times New Roman"/>
          <w:sz w:val="24"/>
          <w:szCs w:val="24"/>
        </w:rPr>
        <w:t xml:space="preserve"> сградата в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 xml:space="preserve"> проекта на община ……….., финансиран по </w:t>
      </w:r>
      <w:r w:rsidR="00770CE8" w:rsidRPr="00EE22A8">
        <w:rPr>
          <w:rFonts w:ascii="Times New Roman" w:eastAsia="Calibri" w:hAnsi="Times New Roman" w:cs="Times New Roman"/>
          <w:sz w:val="24"/>
          <w:szCs w:val="24"/>
        </w:rPr>
        <w:t>процедура BG16RFOP001-2.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>00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3E13E8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CE8" w:rsidRPr="00EE22A8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райони-</w:t>
      </w:r>
      <w:r w:rsidR="003E13E8">
        <w:rPr>
          <w:rFonts w:ascii="Times New Roman" w:eastAsia="Calibri" w:hAnsi="Times New Roman" w:cs="Times New Roman"/>
          <w:sz w:val="24"/>
          <w:szCs w:val="24"/>
        </w:rPr>
        <w:t>3</w:t>
      </w:r>
      <w:r w:rsidR="00770CE8" w:rsidRPr="00EE22A8">
        <w:rPr>
          <w:rFonts w:ascii="Times New Roman" w:eastAsia="Calibri" w:hAnsi="Times New Roman" w:cs="Times New Roman"/>
          <w:sz w:val="24"/>
          <w:szCs w:val="24"/>
        </w:rPr>
        <w:t xml:space="preserve">”, Приоритетна ос 2: „Подкрепа за енергийна ефективност в опорни центрове в периферните райони“ на ОПРР 2014-2020 г. 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 xml:space="preserve"> на ОПРР 2014 – 2020,</w:t>
      </w:r>
      <w:r w:rsidR="00770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Декларирам: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Притежаваният от мен самостоятелен обект е със стопанско предназначение и се използва за …………………….. (изписва се вида на упражняваната стопанска дейност, която може да бъде, но не само: отдаване под наем, извършване на дейност в имота от търговец и/или лице със свободна професия, друго)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Запознат съм с изискванията на Програмата за осигуряване от страна на собствениците на 100 % от средствата за обновяването на самостоятелния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Въз основа на информацията, предоставена от общината съм запознат с размера на средствата,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обект,  който е …………………… лв.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Съгласен съм да осигуря средствата по т. 3 при следния график: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500 лв. преди подписването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15% (петнадесет процента) от индикативната стойност от частта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съфинасирането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) на ССО – в срок до 10 работни дни след сключване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Остатъкът до пълния размер от индикативната стойност от частта (съфинансирането)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 случай, че действително извършените разходи надвишават стойността на индикативните разходи, остатъкът до пълния размер на действително извършените разходи в срок до 20 работни дни след 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IBAN: ………………………….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>Подпис: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6" w:rsidRDefault="00411FC6" w:rsidP="00856C69">
      <w:pPr>
        <w:spacing w:after="0" w:line="240" w:lineRule="auto"/>
      </w:pPr>
      <w:r>
        <w:separator/>
      </w:r>
    </w:p>
  </w:endnote>
  <w:endnote w:type="continuationSeparator" w:id="0">
    <w:p w:rsidR="00411FC6" w:rsidRDefault="00411FC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00" w:rsidRDefault="00317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C44" w:rsidRDefault="00ED6C44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ED6C44" w:rsidRPr="000E346E" w:rsidRDefault="00ED6C44" w:rsidP="000E346E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E346E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3E13E8" w:rsidRPr="000E346E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3E13E8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3E13E8" w:rsidRPr="000E346E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0E346E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3E13E8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Pr="000E346E">
          <w:rPr>
            <w:rFonts w:ascii="Times New Roman" w:hAnsi="Times New Roman" w:cs="Times New Roman"/>
            <w:b/>
            <w:sz w:val="18"/>
            <w:szCs w:val="18"/>
          </w:rPr>
          <w:t>“ на ОП „Региони в растеж“ 2014-2020</w:t>
        </w:r>
      </w:p>
      <w:p w:rsidR="00ED6C44" w:rsidRPr="00BF57DE" w:rsidRDefault="00ED6C44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5E3746" w:rsidRPr="005E3746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00" w:rsidRDefault="00317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6" w:rsidRDefault="00411FC6" w:rsidP="00856C69">
      <w:pPr>
        <w:spacing w:after="0" w:line="240" w:lineRule="auto"/>
      </w:pPr>
      <w:r>
        <w:separator/>
      </w:r>
    </w:p>
  </w:footnote>
  <w:footnote w:type="continuationSeparator" w:id="0">
    <w:p w:rsidR="00411FC6" w:rsidRDefault="00411FC6" w:rsidP="00856C69">
      <w:pPr>
        <w:spacing w:after="0" w:line="240" w:lineRule="auto"/>
      </w:pPr>
      <w:r>
        <w:continuationSeparator/>
      </w:r>
    </w:p>
  </w:footnote>
  <w:footnote w:id="1">
    <w:p w:rsidR="00ED6C44" w:rsidRPr="0080204A" w:rsidRDefault="00ED6C44" w:rsidP="000B2E56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bookmarkStart w:id="0" w:name="_GoBack"/>
      <w:bookmarkEnd w:id="0"/>
      <w:r w:rsidRPr="0080204A">
        <w:rPr>
          <w:rFonts w:ascii="Times New Roman" w:hAnsi="Times New Roman"/>
          <w:lang w:val="bg-BG"/>
        </w:rPr>
        <w:t>„Минимална помощ”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 Считано от 1.</w:t>
      </w:r>
      <w:proofErr w:type="spellStart"/>
      <w:r w:rsidRPr="0080204A">
        <w:rPr>
          <w:rFonts w:ascii="Times New Roman" w:hAnsi="Times New Roman"/>
          <w:lang w:val="bg-BG"/>
        </w:rPr>
        <w:t>1</w:t>
      </w:r>
      <w:proofErr w:type="spellEnd"/>
      <w:r w:rsidRPr="0080204A">
        <w:rPr>
          <w:rFonts w:ascii="Times New Roman" w:hAnsi="Times New Roman"/>
          <w:lang w:val="bg-BG"/>
        </w:rPr>
        <w:t>.2014 г. Регламент (ЕС) № 1998/2006 на Комисията от 15.12.2006 г. се заменя от Регламент (ЕС) №1407/2013 на Комисията от 18 декември 2013 г., съответно Регламент (ЕО) № 1860/2004 на Комисията се заменя с Регламент (ЕС) №1535/2007 и Регламент (ЕС) №1408/2013 г.</w:t>
      </w:r>
    </w:p>
  </w:footnote>
  <w:footnote w:id="2">
    <w:p w:rsidR="00ED6C44" w:rsidRPr="0080204A" w:rsidRDefault="00ED6C44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ED6C44" w:rsidRPr="0080204A" w:rsidRDefault="00ED6C44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ED6C44" w:rsidRPr="0080204A" w:rsidRDefault="00ED6C44" w:rsidP="000B2E56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ED6C44" w:rsidRPr="0080204A" w:rsidRDefault="00ED6C44" w:rsidP="000B2E56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3">
    <w:p w:rsidR="00ED6C44" w:rsidRPr="0080204A" w:rsidRDefault="00ED6C44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4">
    <w:p w:rsidR="00ED6C44" w:rsidRPr="0080204A" w:rsidRDefault="00ED6C44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ХХХ/</w:t>
      </w:r>
      <w:proofErr w:type="spellStart"/>
      <w:r w:rsidRPr="0080204A">
        <w:rPr>
          <w:rFonts w:ascii="Times New Roman" w:hAnsi="Times New Roman"/>
          <w:lang w:val="bg-BG"/>
        </w:rPr>
        <w:t>ХХХ</w:t>
      </w:r>
      <w:proofErr w:type="spellEnd"/>
      <w:r w:rsidRPr="0080204A">
        <w:rPr>
          <w:rFonts w:ascii="Times New Roman" w:hAnsi="Times New Roman"/>
          <w:lang w:val="bg-BG"/>
        </w:rPr>
        <w:t xml:space="preserve">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ED6C44" w:rsidRPr="0080204A" w:rsidRDefault="00ED6C44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5">
    <w:p w:rsidR="00ED6C44" w:rsidRPr="0080204A" w:rsidRDefault="00ED6C44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6">
    <w:p w:rsidR="00ED6C44" w:rsidRPr="0080204A" w:rsidRDefault="00ED6C44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00" w:rsidRDefault="00317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44" w:rsidRPr="0010587A" w:rsidRDefault="00ED6C44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6F0D9B0B" wp14:editId="7801F2F3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7DD23B27" wp14:editId="0534302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6C44" w:rsidRPr="006F249C" w:rsidRDefault="00ED6C44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11</w:t>
    </w:r>
    <w:r w:rsidRPr="006F249C">
      <w:rPr>
        <w:i/>
      </w:rPr>
      <w:t xml:space="preserve"> – образец</w:t>
    </w:r>
  </w:p>
  <w:p w:rsidR="00ED6C44" w:rsidRDefault="00ED6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00" w:rsidRDefault="00317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4CFB"/>
    <w:multiLevelType w:val="hybridMultilevel"/>
    <w:tmpl w:val="F7B09ED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77A37"/>
    <w:multiLevelType w:val="hybridMultilevel"/>
    <w:tmpl w:val="7EECBD4C"/>
    <w:lvl w:ilvl="0" w:tplc="458A41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6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05CA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84F7E"/>
    <w:multiLevelType w:val="hybridMultilevel"/>
    <w:tmpl w:val="F82AED1E"/>
    <w:lvl w:ilvl="0" w:tplc="37B0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5D16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29"/>
  </w:num>
  <w:num w:numId="14">
    <w:abstractNumId w:val="27"/>
  </w:num>
  <w:num w:numId="15">
    <w:abstractNumId w:val="6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26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9"/>
  </w:num>
  <w:num w:numId="29">
    <w:abstractNumId w:val="2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96C6B"/>
    <w:rsid w:val="000B2E56"/>
    <w:rsid w:val="000C2B75"/>
    <w:rsid w:val="000D0909"/>
    <w:rsid w:val="000D1E53"/>
    <w:rsid w:val="000E2ABE"/>
    <w:rsid w:val="000E346E"/>
    <w:rsid w:val="000E5AB8"/>
    <w:rsid w:val="000E610D"/>
    <w:rsid w:val="000E6A10"/>
    <w:rsid w:val="000E7747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5A2D"/>
    <w:rsid w:val="00186DBF"/>
    <w:rsid w:val="001A6A0E"/>
    <w:rsid w:val="001B54DF"/>
    <w:rsid w:val="001B68A7"/>
    <w:rsid w:val="001C48B1"/>
    <w:rsid w:val="001C7AFD"/>
    <w:rsid w:val="001F13E5"/>
    <w:rsid w:val="002077C1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D7B42"/>
    <w:rsid w:val="002E3DDA"/>
    <w:rsid w:val="002E4813"/>
    <w:rsid w:val="002E765D"/>
    <w:rsid w:val="002F74B3"/>
    <w:rsid w:val="0030098E"/>
    <w:rsid w:val="003063D7"/>
    <w:rsid w:val="00310B94"/>
    <w:rsid w:val="00317400"/>
    <w:rsid w:val="0031784D"/>
    <w:rsid w:val="00335D1C"/>
    <w:rsid w:val="0034181C"/>
    <w:rsid w:val="0034407D"/>
    <w:rsid w:val="003520C3"/>
    <w:rsid w:val="00354446"/>
    <w:rsid w:val="0035799F"/>
    <w:rsid w:val="00383A28"/>
    <w:rsid w:val="0039014B"/>
    <w:rsid w:val="00395EA6"/>
    <w:rsid w:val="003A3C8F"/>
    <w:rsid w:val="003A6419"/>
    <w:rsid w:val="003B6BA4"/>
    <w:rsid w:val="003C3787"/>
    <w:rsid w:val="003D246D"/>
    <w:rsid w:val="003D27D1"/>
    <w:rsid w:val="003E13E8"/>
    <w:rsid w:val="003F477A"/>
    <w:rsid w:val="0040075F"/>
    <w:rsid w:val="00411FC6"/>
    <w:rsid w:val="00424A20"/>
    <w:rsid w:val="00424D1C"/>
    <w:rsid w:val="00437E18"/>
    <w:rsid w:val="00453755"/>
    <w:rsid w:val="004557C1"/>
    <w:rsid w:val="00457A03"/>
    <w:rsid w:val="00461B94"/>
    <w:rsid w:val="004755C9"/>
    <w:rsid w:val="004777F7"/>
    <w:rsid w:val="0048289B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E3746"/>
    <w:rsid w:val="005F0D1E"/>
    <w:rsid w:val="005F38C6"/>
    <w:rsid w:val="0060313A"/>
    <w:rsid w:val="00604EC5"/>
    <w:rsid w:val="0062286E"/>
    <w:rsid w:val="00625522"/>
    <w:rsid w:val="00626FFB"/>
    <w:rsid w:val="00663034"/>
    <w:rsid w:val="006637F9"/>
    <w:rsid w:val="0066526E"/>
    <w:rsid w:val="00675B82"/>
    <w:rsid w:val="00690B96"/>
    <w:rsid w:val="00690E1A"/>
    <w:rsid w:val="00691259"/>
    <w:rsid w:val="006A124F"/>
    <w:rsid w:val="006A3A5B"/>
    <w:rsid w:val="006A469D"/>
    <w:rsid w:val="006A713E"/>
    <w:rsid w:val="006B1AF4"/>
    <w:rsid w:val="006B77AE"/>
    <w:rsid w:val="006D4C0A"/>
    <w:rsid w:val="006E08D8"/>
    <w:rsid w:val="006E5D45"/>
    <w:rsid w:val="00710015"/>
    <w:rsid w:val="00711D7B"/>
    <w:rsid w:val="00711DAF"/>
    <w:rsid w:val="00724B39"/>
    <w:rsid w:val="007552B2"/>
    <w:rsid w:val="007603E0"/>
    <w:rsid w:val="0076297A"/>
    <w:rsid w:val="00763BC0"/>
    <w:rsid w:val="00770CE8"/>
    <w:rsid w:val="00777AC0"/>
    <w:rsid w:val="00787DFD"/>
    <w:rsid w:val="00793A66"/>
    <w:rsid w:val="007965B7"/>
    <w:rsid w:val="007A2BF7"/>
    <w:rsid w:val="007B10D3"/>
    <w:rsid w:val="007B1D78"/>
    <w:rsid w:val="007C0B0A"/>
    <w:rsid w:val="007D5B48"/>
    <w:rsid w:val="00801A80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012"/>
    <w:rsid w:val="008A25FD"/>
    <w:rsid w:val="008B0842"/>
    <w:rsid w:val="008B55DF"/>
    <w:rsid w:val="008C3516"/>
    <w:rsid w:val="008C74E8"/>
    <w:rsid w:val="008D1CCD"/>
    <w:rsid w:val="008D2ACD"/>
    <w:rsid w:val="008E23D2"/>
    <w:rsid w:val="008F22F7"/>
    <w:rsid w:val="00903DEA"/>
    <w:rsid w:val="00911796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A4DEC"/>
    <w:rsid w:val="009A6ADE"/>
    <w:rsid w:val="009B6BC1"/>
    <w:rsid w:val="009F532B"/>
    <w:rsid w:val="009F7E2E"/>
    <w:rsid w:val="00A2206F"/>
    <w:rsid w:val="00A248E8"/>
    <w:rsid w:val="00A2530B"/>
    <w:rsid w:val="00A42373"/>
    <w:rsid w:val="00A44709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4EE9"/>
    <w:rsid w:val="00AD4A3F"/>
    <w:rsid w:val="00B05CDD"/>
    <w:rsid w:val="00B10E33"/>
    <w:rsid w:val="00B128E4"/>
    <w:rsid w:val="00B41655"/>
    <w:rsid w:val="00B4561B"/>
    <w:rsid w:val="00B65626"/>
    <w:rsid w:val="00B71B5C"/>
    <w:rsid w:val="00B74E7A"/>
    <w:rsid w:val="00B75E8F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E4359"/>
    <w:rsid w:val="00D01AFB"/>
    <w:rsid w:val="00D16C35"/>
    <w:rsid w:val="00D21EB2"/>
    <w:rsid w:val="00D22A26"/>
    <w:rsid w:val="00D3526E"/>
    <w:rsid w:val="00D461F9"/>
    <w:rsid w:val="00D531DD"/>
    <w:rsid w:val="00D55EFB"/>
    <w:rsid w:val="00D602A3"/>
    <w:rsid w:val="00D828D6"/>
    <w:rsid w:val="00D86A80"/>
    <w:rsid w:val="00DA660E"/>
    <w:rsid w:val="00DB49C3"/>
    <w:rsid w:val="00DC11EC"/>
    <w:rsid w:val="00DC17E4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378"/>
    <w:rsid w:val="00ED6C44"/>
    <w:rsid w:val="00EE22A8"/>
    <w:rsid w:val="00EE46E9"/>
    <w:rsid w:val="00EE6EEC"/>
    <w:rsid w:val="00EF2CB0"/>
    <w:rsid w:val="00EF403F"/>
    <w:rsid w:val="00EF7A47"/>
    <w:rsid w:val="00F141D4"/>
    <w:rsid w:val="00F23BFA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15ED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E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gregio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5913-58E6-464F-89F3-F4EE8C83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55</cp:revision>
  <dcterms:created xsi:type="dcterms:W3CDTF">2015-06-08T13:59:00Z</dcterms:created>
  <dcterms:modified xsi:type="dcterms:W3CDTF">2019-08-14T08:29:00Z</dcterms:modified>
</cp:coreProperties>
</file>